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eastAsia="方正小标宋_GBK"/>
          <w:kern w:val="0"/>
          <w:sz w:val="44"/>
          <w:szCs w:val="44"/>
        </w:rPr>
        <w:t> </w:t>
      </w:r>
    </w:p>
    <w:p>
      <w:pPr>
        <w:ind w:firstLine="88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中国共产主义青年团</w:t>
      </w:r>
      <w:r>
        <w:rPr>
          <w:rFonts w:hint="eastAsia" w:ascii="方正小标宋简体" w:hAnsi="黑体" w:eastAsia="方正小标宋简体"/>
          <w:sz w:val="44"/>
          <w:szCs w:val="44"/>
        </w:rPr>
        <w:t>霸州市委员会</w:t>
      </w:r>
    </w:p>
    <w:p>
      <w:pPr>
        <w:ind w:firstLine="880"/>
        <w:jc w:val="center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黑体" w:eastAsia="方正小标宋简体"/>
          <w:sz w:val="44"/>
          <w:szCs w:val="44"/>
        </w:rPr>
        <w:t>部门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决</w:t>
      </w:r>
      <w:r>
        <w:rPr>
          <w:rFonts w:hint="eastAsia" w:ascii="方正小标宋简体" w:hAnsi="黑体" w:eastAsia="方正小标宋简体"/>
          <w:sz w:val="44"/>
          <w:szCs w:val="44"/>
        </w:rPr>
        <w:t>算信息公开目录</w:t>
      </w:r>
      <w:r>
        <w:rPr>
          <w:rFonts w:hint="eastAsia" w:eastAsia="黑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eastAsia="黑体" w:cs="Arial"/>
          <w:kern w:val="0"/>
          <w:sz w:val="32"/>
          <w:szCs w:val="32"/>
        </w:rPr>
        <w:t>第一部分</w:t>
      </w:r>
      <w:r>
        <w:rPr>
          <w:rFonts w:hint="eastAsia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中国共产主义青年团霸州市委员会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widowControl/>
        <w:shd w:val="clear" w:color="auto" w:fill="FFFFFF"/>
        <w:spacing w:line="580" w:lineRule="exact"/>
        <w:ind w:firstLine="1273" w:firstLineChars="398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一、部门职责</w:t>
      </w:r>
    </w:p>
    <w:p>
      <w:pPr>
        <w:widowControl/>
        <w:shd w:val="clear" w:color="auto" w:fill="FFFFFF"/>
        <w:spacing w:line="580" w:lineRule="exact"/>
        <w:ind w:firstLine="1273" w:firstLineChars="398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二、部门决算单位构成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eastAsia="黑体" w:cs="Arial"/>
          <w:kern w:val="0"/>
          <w:sz w:val="32"/>
          <w:szCs w:val="32"/>
        </w:rPr>
        <w:t>第二部分</w:t>
      </w:r>
      <w:r>
        <w:rPr>
          <w:rFonts w:hint="eastAsia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中国共产主义青年团霸州市委员会</w:t>
      </w:r>
      <w:r>
        <w:rPr>
          <w:rFonts w:hint="eastAsia" w:ascii="黑体" w:hAnsi="黑体" w:eastAsia="黑体"/>
          <w:sz w:val="32"/>
          <w:szCs w:val="32"/>
        </w:rPr>
        <w:t>部门201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一、收入支出决算总表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二、收入决算表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三、支出决算表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四、财政拨款收入支出决算总表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五、一般公共预算财政拨款收入支出决算表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六、一般公共预算财政拨款基本支出决算经济分类表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七、政府性基金预算财政拨款收入支出决算表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八、国有资本经营预算财政拨款收入支出决算表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九、</w:t>
      </w:r>
      <w:r>
        <w:rPr>
          <w:rFonts w:hint="eastAsia" w:eastAsia="仿宋_GB2312"/>
          <w:kern w:val="0"/>
          <w:sz w:val="32"/>
          <w:szCs w:val="32"/>
        </w:rPr>
        <w:t>“</w:t>
      </w:r>
      <w:r>
        <w:rPr>
          <w:rFonts w:hint="eastAsia" w:hAnsi="Arial" w:eastAsia="仿宋_GB2312" w:cs="Arial"/>
          <w:kern w:val="0"/>
          <w:sz w:val="32"/>
          <w:szCs w:val="32"/>
        </w:rPr>
        <w:t>三公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hint="eastAsia" w:hAnsi="Arial" w:eastAsia="仿宋_GB2312" w:cs="Arial"/>
          <w:kern w:val="0"/>
          <w:sz w:val="32"/>
          <w:szCs w:val="32"/>
        </w:rPr>
        <w:t>经费等相关信息统计表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十、政府采购情况表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eastAsia="黑体" w:cs="Arial"/>
          <w:kern w:val="0"/>
          <w:sz w:val="32"/>
          <w:szCs w:val="32"/>
        </w:rPr>
        <w:t>第三部分</w:t>
      </w:r>
      <w:r>
        <w:rPr>
          <w:rFonts w:hint="eastAsia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中国共产主义青年团霸州市委员会</w:t>
      </w:r>
      <w:r>
        <w:rPr>
          <w:rFonts w:hint="eastAsia" w:ascii="黑体" w:hAnsi="黑体" w:eastAsia="黑体"/>
          <w:sz w:val="32"/>
          <w:szCs w:val="32"/>
        </w:rPr>
        <w:t>部门201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年度部门决算情况说明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一、收入支出决算总体情况说明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二、收入决算情况说明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三、支出决算情况说明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四、财政拨款收入支出决算总体情况说明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五、</w:t>
      </w:r>
      <w:r>
        <w:rPr>
          <w:rFonts w:hint="eastAsia" w:eastAsia="仿宋_GB2312"/>
          <w:kern w:val="0"/>
          <w:sz w:val="32"/>
          <w:szCs w:val="32"/>
        </w:rPr>
        <w:t>“</w:t>
      </w:r>
      <w:r>
        <w:rPr>
          <w:rFonts w:hint="eastAsia" w:hAnsi="Arial" w:eastAsia="仿宋_GB2312" w:cs="Arial"/>
          <w:kern w:val="0"/>
          <w:sz w:val="32"/>
          <w:szCs w:val="32"/>
        </w:rPr>
        <w:t>三公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hint="eastAsia" w:hAnsi="Arial" w:eastAsia="仿宋_GB2312" w:cs="Arial"/>
          <w:kern w:val="0"/>
          <w:sz w:val="32"/>
          <w:szCs w:val="32"/>
        </w:rPr>
        <w:t>经费支出决算情况说明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六、预算绩效管理工作开展情况说明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七、其他重要事项的说明</w:t>
      </w:r>
    </w:p>
    <w:p>
      <w:pPr>
        <w:widowControl/>
        <w:shd w:val="clear" w:color="auto" w:fill="FFFFFF"/>
        <w:spacing w:line="580" w:lineRule="exact"/>
        <w:ind w:left="640" w:firstLine="1344" w:firstLineChars="42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eastAsia="仿宋_GB2312"/>
          <w:kern w:val="0"/>
          <w:sz w:val="32"/>
          <w:szCs w:val="32"/>
        </w:rPr>
        <w:t>1.</w:t>
      </w:r>
      <w:r>
        <w:rPr>
          <w:rFonts w:hint="eastAsia" w:hAnsi="Arial" w:eastAsia="仿宋_GB2312" w:cs="Arial"/>
          <w:kern w:val="0"/>
          <w:sz w:val="32"/>
          <w:szCs w:val="32"/>
        </w:rPr>
        <w:t>机关运行经费情况</w:t>
      </w:r>
    </w:p>
    <w:p>
      <w:pPr>
        <w:widowControl/>
        <w:shd w:val="clear" w:color="auto" w:fill="FFFFFF"/>
        <w:spacing w:line="580" w:lineRule="exact"/>
        <w:ind w:left="640" w:firstLine="1344" w:firstLineChars="42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eastAsia="仿宋_GB2312"/>
          <w:kern w:val="0"/>
          <w:sz w:val="32"/>
          <w:szCs w:val="32"/>
        </w:rPr>
        <w:t>2.</w:t>
      </w:r>
      <w:r>
        <w:rPr>
          <w:rFonts w:hint="eastAsia" w:hAnsi="Arial" w:eastAsia="仿宋_GB2312" w:cs="Arial"/>
          <w:kern w:val="0"/>
          <w:sz w:val="32"/>
          <w:szCs w:val="32"/>
        </w:rPr>
        <w:t>政府采购情况</w:t>
      </w:r>
    </w:p>
    <w:p>
      <w:pPr>
        <w:widowControl/>
        <w:shd w:val="clear" w:color="auto" w:fill="FFFFFF"/>
        <w:spacing w:line="580" w:lineRule="exact"/>
        <w:ind w:left="640" w:firstLine="1344" w:firstLineChars="42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eastAsia="仿宋_GB2312"/>
          <w:kern w:val="0"/>
          <w:sz w:val="32"/>
          <w:szCs w:val="32"/>
        </w:rPr>
        <w:t>3.</w:t>
      </w:r>
      <w:r>
        <w:rPr>
          <w:rFonts w:hint="eastAsia" w:hAnsi="Arial" w:eastAsia="仿宋_GB2312" w:cs="Arial"/>
          <w:kern w:val="0"/>
          <w:sz w:val="32"/>
          <w:szCs w:val="32"/>
        </w:rPr>
        <w:t>国有资产占用情况</w:t>
      </w:r>
    </w:p>
    <w:p>
      <w:pPr>
        <w:widowControl/>
        <w:shd w:val="clear" w:color="auto" w:fill="FFFFFF"/>
        <w:spacing w:line="580" w:lineRule="exact"/>
        <w:ind w:left="640" w:firstLine="1344" w:firstLineChars="42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eastAsia="仿宋_GB2312"/>
          <w:kern w:val="0"/>
          <w:sz w:val="32"/>
          <w:szCs w:val="32"/>
        </w:rPr>
        <w:t>4.</w:t>
      </w:r>
      <w:r>
        <w:rPr>
          <w:rFonts w:hint="eastAsia" w:hAnsi="Arial" w:eastAsia="仿宋_GB2312" w:cs="Arial"/>
          <w:kern w:val="0"/>
          <w:sz w:val="32"/>
          <w:szCs w:val="32"/>
        </w:rPr>
        <w:t>其他需要说明的情况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eastAsia="黑体" w:cs="Arial"/>
          <w:kern w:val="0"/>
          <w:sz w:val="32"/>
          <w:szCs w:val="32"/>
        </w:rPr>
        <w:t>第四部分</w:t>
      </w:r>
      <w:r>
        <w:rPr>
          <w:rFonts w:hint="eastAsia" w:eastAsia="黑体"/>
          <w:kern w:val="0"/>
          <w:sz w:val="32"/>
          <w:szCs w:val="32"/>
        </w:rPr>
        <w:t xml:space="preserve">  </w:t>
      </w:r>
      <w:r>
        <w:rPr>
          <w:rFonts w:hint="eastAsia" w:eastAsia="黑体" w:cs="Arial"/>
          <w:kern w:val="0"/>
          <w:sz w:val="32"/>
          <w:szCs w:val="32"/>
        </w:rPr>
        <w:t>名词解释</w:t>
      </w:r>
    </w:p>
    <w:p>
      <w:pPr>
        <w:ind w:firstLine="640" w:firstLineChars="200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 xml:space="preserve">    </w:t>
      </w:r>
      <w:r>
        <w:rPr>
          <w:rFonts w:hint="eastAsia" w:hAnsi="Arial" w:eastAsia="仿宋_GB2312" w:cs="Arial"/>
          <w:kern w:val="0"/>
          <w:sz w:val="32"/>
          <w:szCs w:val="32"/>
        </w:rPr>
        <w:t>一、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财政拨款收入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二、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事业收入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Ansi="Arial" w:eastAsia="方正小标宋_GBK" w:cs="Arial"/>
          <w:kern w:val="0"/>
          <w:sz w:val="44"/>
          <w:szCs w:val="2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三、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其他收入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四、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用事业基金弥补收支差额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五、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年初结转和结余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六、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结余分配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七、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年末结转和结余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八、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基本支出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九、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项目支出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十、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基本建设支出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color w:val="000000"/>
          <w:kern w:val="0"/>
          <w:sz w:val="32"/>
          <w:szCs w:val="32"/>
          <w:lang w:val="en-US" w:eastAsia="zh-CN"/>
        </w:rPr>
        <w:t>十一、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其他资本性支出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color w:val="000000"/>
          <w:kern w:val="0"/>
          <w:sz w:val="32"/>
          <w:szCs w:val="32"/>
          <w:lang w:eastAsia="zh-CN"/>
        </w:rPr>
        <w:t>十二、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三公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经费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color w:val="000000"/>
          <w:kern w:val="0"/>
          <w:sz w:val="32"/>
          <w:szCs w:val="32"/>
          <w:lang w:eastAsia="zh-CN"/>
        </w:rPr>
        <w:t>十三、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其他交通费用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color w:val="000000"/>
          <w:kern w:val="0"/>
          <w:sz w:val="32"/>
          <w:szCs w:val="32"/>
          <w:lang w:eastAsia="zh-CN"/>
        </w:rPr>
        <w:t>十四、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公务用车购置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hAnsi="Arial" w:eastAsia="仿宋_GB2312" w:cs="Arial"/>
          <w:color w:val="000000"/>
          <w:kern w:val="0"/>
          <w:sz w:val="32"/>
          <w:szCs w:val="32"/>
          <w:lang w:val="en-US" w:eastAsia="zh-CN"/>
        </w:rPr>
        <w:t>十五、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其他交通工具购置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ascii="Times New Roman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Arial" w:eastAsia="仿宋_GB2312" w:cs="Arial"/>
          <w:color w:val="000000"/>
          <w:kern w:val="0"/>
          <w:sz w:val="32"/>
          <w:szCs w:val="32"/>
          <w:lang w:eastAsia="zh-CN"/>
        </w:rPr>
        <w:t>十六、</w:t>
      </w:r>
      <w:r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  <w:t>机关运行经费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Arial" w:eastAsia="仿宋_GB2312" w:cs="Arial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38"/>
    <w:rsid w:val="00366238"/>
    <w:rsid w:val="003A0E3B"/>
    <w:rsid w:val="00634908"/>
    <w:rsid w:val="006C4B5A"/>
    <w:rsid w:val="00D87D8A"/>
    <w:rsid w:val="1B4651A8"/>
    <w:rsid w:val="3FC16E98"/>
    <w:rsid w:val="44F7653A"/>
    <w:rsid w:val="664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2018-10-11T02:45:00Z</dcterms:created>
  <dc:creator>zjz</dc:creator>
  <cp:lastModifiedBy>悦动</cp:lastModifiedBy>
  <dcterms:modified xsi:type="dcterms:W3CDTF">2018-10-22T03:51:43Z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