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580" w:lineRule="exact"/>
        <w:jc w:val="center"/>
        <w:rPr>
          <w:rFonts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both"/>
        <w:rPr>
          <w:rFonts w:hint="eastAsia" w:ascii="方正小标宋简体" w:hAnsi="方正小标宋简体" w:eastAsia="方正小标宋简体" w:cs="方正小标宋简体"/>
          <w:spacing w:val="8"/>
          <w:sz w:val="44"/>
          <w:szCs w:val="44"/>
          <w:shd w:val="clear" w:color="auto" w:fill="FFFFFF"/>
        </w:rPr>
      </w:pPr>
    </w:p>
    <w:p>
      <w:pPr>
        <w:spacing w:line="600" w:lineRule="exact"/>
        <w:jc w:val="center"/>
        <w:rPr>
          <w:rFonts w:hint="eastAsia" w:ascii="Times New Roman" w:hAnsi="Times New Roman" w:eastAsia="方正小标宋简体"/>
          <w:spacing w:val="-11"/>
          <w:sz w:val="44"/>
          <w:szCs w:val="44"/>
        </w:rPr>
      </w:pPr>
    </w:p>
    <w:tbl>
      <w:tblPr>
        <w:tblStyle w:val="9"/>
        <w:tblpPr w:leftFromText="180" w:rightFromText="180" w:vertAnchor="page" w:horzAnchor="page" w:tblpX="1515" w:tblpY="5013"/>
        <w:tblOverlap w:val="never"/>
        <w:tblW w:w="8845"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845"/>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797" w:hRule="exact"/>
        </w:trPr>
        <w:tc>
          <w:tcPr>
            <w:tcW w:w="8845" w:type="dxa"/>
            <w:tcBorders>
              <w:bottom w:val="nil"/>
            </w:tcBorders>
            <w:vAlign w:val="center"/>
          </w:tcPr>
          <w:p>
            <w:pPr>
              <w:rPr>
                <w:rFonts w:ascii="方正大标宋_GBK" w:hAnsi="华文中宋" w:eastAsia="方正大标宋_GBK"/>
                <w:color w:val="FF0000"/>
                <w:w w:val="55"/>
                <w:sz w:val="112"/>
                <w:szCs w:val="112"/>
              </w:rPr>
            </w:pPr>
            <w:r>
              <w:rPr>
                <w:rFonts w:hint="eastAsia" w:ascii="方正大标宋_GBK" w:hAnsi="华文中宋" w:eastAsia="方正大标宋_GBK"/>
                <w:color w:val="FF0000"/>
                <w:w w:val="55"/>
                <w:kern w:val="0"/>
                <w:sz w:val="112"/>
                <w:szCs w:val="112"/>
              </w:rPr>
              <w:t>河北省政务服务管理办公室文件</w:t>
            </w:r>
          </w:p>
          <w:p>
            <w:pPr>
              <w:rPr>
                <w:rFonts w:ascii="华文中宋" w:hAnsi="华文中宋" w:eastAsia="华文中宋"/>
                <w:color w:val="FF0000"/>
                <w:w w:val="75"/>
                <w:sz w:val="136"/>
                <w:szCs w:val="136"/>
              </w:rPr>
            </w:pPr>
          </w:p>
          <w:p>
            <w:pPr>
              <w:rPr>
                <w:color w:val="FF0000"/>
                <w:w w:val="60"/>
                <w:sz w:val="136"/>
                <w:szCs w:val="136"/>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845" w:type="dxa"/>
            <w:vAlign w:val="bottom"/>
          </w:tcPr>
          <w:p>
            <w:pPr>
              <w:rPr>
                <w:rFonts w:ascii="方正仿宋_GBK" w:eastAsia="方正仿宋_GBK"/>
                <w:sz w:val="30"/>
                <w:szCs w:val="22"/>
              </w:rPr>
            </w:pPr>
          </w:p>
          <w:p>
            <w:pPr>
              <w:rPr>
                <w:rFonts w:ascii="方正仿宋_GBK" w:eastAsia="方正仿宋_GBK"/>
                <w:sz w:val="30"/>
                <w:szCs w:val="22"/>
              </w:rPr>
            </w:pPr>
          </w:p>
          <w:p>
            <w:pPr>
              <w:widowControl/>
              <w:spacing w:line="450" w:lineRule="atLeast"/>
              <w:jc w:val="center"/>
              <w:rPr>
                <w:rFonts w:ascii="方正仿宋_GBK" w:hAnsi="宋体" w:eastAsia="方正仿宋_GBK" w:cs="宋体"/>
                <w:kern w:val="0"/>
                <w:sz w:val="30"/>
              </w:rPr>
            </w:pPr>
            <w:r>
              <w:rPr>
                <w:rFonts w:hint="eastAsia" w:ascii="仿宋_GB2312" w:hAnsi="Calibri" w:eastAsia="仿宋_GB2312" w:cs="Times New Roman"/>
                <w:sz w:val="32"/>
                <w:szCs w:val="32"/>
              </w:rPr>
              <w:t>冀政务办</w:t>
            </w:r>
            <w:r>
              <w:rPr>
                <w:rFonts w:hint="default" w:ascii="仿宋_GB2312" w:hAnsi="Calibri" w:eastAsia="仿宋_GB2312" w:cs="Times New Roman"/>
                <w:sz w:val="32"/>
                <w:szCs w:val="32"/>
              </w:rPr>
              <w:t>规</w:t>
            </w:r>
            <w:r>
              <w:rPr>
                <w:rFonts w:hint="eastAsia" w:ascii="仿宋_GB2312" w:hAnsi="Calibri" w:eastAsia="仿宋_GB2312" w:cs="Times New Roman"/>
                <w:sz w:val="32"/>
                <w:szCs w:val="32"/>
              </w:rPr>
              <w:t>〔</w:t>
            </w:r>
            <w:r>
              <w:rPr>
                <w:rFonts w:hint="default" w:ascii="仿宋_GB2312" w:hAnsi="Calibri" w:eastAsia="仿宋_GB2312" w:cs="Times New Roman"/>
                <w:sz w:val="32"/>
                <w:szCs w:val="32"/>
              </w:rPr>
              <w:t>2023</w:t>
            </w:r>
            <w:r>
              <w:rPr>
                <w:rFonts w:hint="eastAsia" w:ascii="仿宋_GB2312" w:hAnsi="Calibri" w:eastAsia="仿宋_GB2312" w:cs="Times New Roman"/>
                <w:sz w:val="32"/>
                <w:szCs w:val="32"/>
              </w:rPr>
              <w:t>〕</w:t>
            </w:r>
            <w:r>
              <w:rPr>
                <w:rFonts w:hint="default" w:ascii="仿宋_GB2312" w:hAnsi="Calibri" w:eastAsia="仿宋_GB2312" w:cs="Times New Roman"/>
                <w:sz w:val="32"/>
                <w:szCs w:val="32"/>
              </w:rPr>
              <w:t>7</w:t>
            </w:r>
            <w:r>
              <w:rPr>
                <w:rFonts w:hint="eastAsia" w:ascii="仿宋_GB2312" w:hAnsi="Calibri" w:eastAsia="仿宋_GB2312" w:cs="Times New Roman"/>
                <w:sz w:val="32"/>
                <w:szCs w:val="32"/>
              </w:rPr>
              <w:t>号</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89" w:hRule="atLeast"/>
        </w:trPr>
        <w:tc>
          <w:tcPr>
            <w:tcW w:w="8845" w:type="dxa"/>
          </w:tcPr>
          <w:p>
            <w:pPr>
              <w:rPr>
                <w:sz w:val="20"/>
                <w:szCs w:val="22"/>
              </w:rPr>
            </w:pPr>
            <w:r>
              <w:rPr>
                <w:sz w:val="20"/>
                <w:szCs w:val="22"/>
              </w:rPr>
              <mc:AlternateContent>
                <mc:Choice Requires="wps">
                  <w:drawing>
                    <wp:anchor distT="0" distB="0" distL="114300" distR="114300" simplePos="0" relativeHeight="251673600" behindDoc="0" locked="0" layoutInCell="1" allowOverlap="1">
                      <wp:simplePos x="0" y="0"/>
                      <wp:positionH relativeFrom="page">
                        <wp:posOffset>1270</wp:posOffset>
                      </wp:positionH>
                      <wp:positionV relativeFrom="margin">
                        <wp:posOffset>10160</wp:posOffset>
                      </wp:positionV>
                      <wp:extent cx="5615940" cy="635"/>
                      <wp:effectExtent l="0" t="10795" r="3810" b="17145"/>
                      <wp:wrapNone/>
                      <wp:docPr id="4" name="直线 7"/>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22225">
                                <a:solidFill>
                                  <a:srgbClr val="FF0000"/>
                                </a:solidFill>
                                <a:round/>
                              </a:ln>
                            </wps:spPr>
                            <wps:bodyPr/>
                          </wps:wsp>
                        </a:graphicData>
                      </a:graphic>
                    </wp:anchor>
                  </w:drawing>
                </mc:Choice>
                <mc:Fallback>
                  <w:pict>
                    <v:line id="直线 7" o:spid="_x0000_s1026" o:spt="20" style="position:absolute;left:0pt;margin-left:0.1pt;margin-top:0.8pt;height:0.05pt;width:442.2pt;mso-position-horizontal-relative:page;mso-position-vertical-relative:margin;z-index:251673600;mso-width-relative:page;mso-height-relative:page;" filled="f" stroked="t" coordsize="21600,21600" o:gfxdata="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eYINnUAAAABAEAAA8AAAAAAAAAAQAgAAAA&#10;OAAAAGRycy9kb3ducmV2LnhtbFBLAQIUABQAAAAIAIdO4kDEvmtfwAEAAFYDAAAOAAAAAAAAAAEA&#10;IAAAADkBAABkcnMvZTJvRG9jLnhtbFBLBQYAAAAABgAGAFkBAABrBQAAAAA=&#10;">
                      <v:fill on="f" focussize="0,0"/>
                      <v:stroke weight="1.75pt" color="#FF0000" joinstyle="round"/>
                      <v:imagedata o:title=""/>
                      <o:lock v:ext="edit" aspectratio="f"/>
                    </v:line>
                  </w:pict>
                </mc:Fallback>
              </mc:AlternateContent>
            </w:r>
          </w:p>
        </w:tc>
      </w:tr>
    </w:tbl>
    <w:p>
      <w:pPr>
        <w:spacing w:line="600" w:lineRule="exact"/>
        <w:jc w:val="center"/>
        <w:rPr>
          <w:rFonts w:hint="eastAsia" w:ascii="Times New Roman" w:hAnsi="Times New Roman" w:eastAsia="方正小标宋简体"/>
          <w:spacing w:val="-11"/>
          <w:sz w:val="44"/>
          <w:szCs w:val="44"/>
        </w:rPr>
      </w:pPr>
    </w:p>
    <w:p>
      <w:pPr>
        <w:spacing w:line="600" w:lineRule="exact"/>
        <w:jc w:val="center"/>
        <w:rPr>
          <w:rFonts w:hint="eastAsia" w:ascii="Times New Roman" w:hAnsi="Times New Roman" w:eastAsia="方正小标宋简体"/>
          <w:spacing w:val="-11"/>
          <w:sz w:val="44"/>
          <w:szCs w:val="44"/>
        </w:rPr>
      </w:pPr>
      <w:r>
        <w:rPr>
          <w:rFonts w:hint="eastAsia" w:ascii="Times New Roman" w:hAnsi="Times New Roman" w:eastAsia="方正小标宋简体"/>
          <w:spacing w:val="-11"/>
          <w:sz w:val="44"/>
          <w:szCs w:val="44"/>
        </w:rPr>
        <w:t>河北省政务服务管理办公室</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pacing w:val="-11"/>
          <w:sz w:val="44"/>
          <w:szCs w:val="44"/>
        </w:rPr>
        <w:t>关于印发《</w:t>
      </w:r>
      <w:r>
        <w:rPr>
          <w:rFonts w:ascii="Times New Roman" w:hAnsi="Times New Roman" w:eastAsia="方正小标宋简体"/>
          <w:spacing w:val="-11"/>
          <w:sz w:val="44"/>
          <w:szCs w:val="44"/>
        </w:rPr>
        <w:t>河北省公共资源交易平台远程异地评标管理</w:t>
      </w:r>
      <w:r>
        <w:rPr>
          <w:rFonts w:ascii="Times New Roman" w:hAnsi="Times New Roman" w:eastAsia="方正小标宋简体"/>
          <w:sz w:val="44"/>
          <w:szCs w:val="44"/>
        </w:rPr>
        <w:t>办法（试行）</w:t>
      </w:r>
      <w:r>
        <w:rPr>
          <w:rFonts w:hint="eastAsia" w:ascii="Times New Roman" w:hAnsi="Times New Roman" w:eastAsia="方正小标宋简体"/>
          <w:sz w:val="44"/>
          <w:szCs w:val="44"/>
        </w:rPr>
        <w:t>》的通知</w:t>
      </w:r>
    </w:p>
    <w:p>
      <w:pPr>
        <w:spacing w:line="640" w:lineRule="exact"/>
        <w:jc w:val="center"/>
        <w:rPr>
          <w:rFonts w:ascii="方正小标宋简体" w:eastAsia="方正小标宋简体"/>
          <w:sz w:val="44"/>
          <w:szCs w:val="44"/>
        </w:rPr>
      </w:pPr>
    </w:p>
    <w:p>
      <w:pPr>
        <w:spacing w:line="640" w:lineRule="exact"/>
        <w:rPr>
          <w:rFonts w:ascii="仿宋_GB2312" w:hAnsi="仿宋" w:eastAsia="仿宋_GB2312"/>
          <w:sz w:val="32"/>
          <w:szCs w:val="32"/>
        </w:rPr>
      </w:pPr>
      <w:r>
        <w:rPr>
          <w:rFonts w:hint="eastAsia" w:ascii="仿宋_GB2312" w:hAnsi="仿宋" w:eastAsia="仿宋_GB2312"/>
          <w:sz w:val="32"/>
          <w:szCs w:val="32"/>
        </w:rPr>
        <w:t>各市（含定州、辛集市）</w:t>
      </w:r>
      <w:r>
        <w:rPr>
          <w:rFonts w:hint="default" w:ascii="仿宋_GB2312" w:hAnsi="仿宋" w:eastAsia="仿宋_GB2312"/>
          <w:sz w:val="32"/>
          <w:szCs w:val="32"/>
        </w:rPr>
        <w:t>行政审批局</w:t>
      </w:r>
      <w:r>
        <w:rPr>
          <w:rFonts w:hint="eastAsia" w:ascii="仿宋_GB2312" w:hAnsi="仿宋" w:eastAsia="仿宋_GB2312"/>
          <w:sz w:val="32"/>
          <w:szCs w:val="32"/>
        </w:rPr>
        <w:t>、雄安新区公共服务局，省直</w:t>
      </w:r>
      <w:r>
        <w:rPr>
          <w:rFonts w:hint="default" w:ascii="仿宋_GB2312" w:hAnsi="仿宋" w:eastAsia="仿宋_GB2312"/>
          <w:sz w:val="32"/>
          <w:szCs w:val="32"/>
        </w:rPr>
        <w:t>有关</w:t>
      </w:r>
      <w:r>
        <w:rPr>
          <w:rFonts w:hint="eastAsia" w:ascii="仿宋_GB2312" w:hAnsi="仿宋" w:eastAsia="仿宋_GB2312"/>
          <w:sz w:val="32"/>
          <w:szCs w:val="32"/>
        </w:rPr>
        <w:t>部门：</w:t>
      </w:r>
    </w:p>
    <w:p>
      <w:pPr>
        <w:spacing w:line="600" w:lineRule="exact"/>
        <w:jc w:val="both"/>
        <w:rPr>
          <w:rFonts w:ascii="仿宋_GB2312" w:hAnsi="仿宋" w:eastAsia="仿宋_GB2312"/>
          <w:sz w:val="32"/>
          <w:szCs w:val="32"/>
        </w:rPr>
      </w:pPr>
      <w:r>
        <w:rPr>
          <w:rFonts w:hint="eastAsia" w:ascii="仿宋_GB2312" w:hAnsi="仿宋" w:eastAsia="仿宋_GB2312"/>
          <w:sz w:val="32"/>
          <w:szCs w:val="32"/>
        </w:rPr>
        <w:t>　　</w:t>
      </w:r>
      <w:r>
        <w:rPr>
          <w:rFonts w:ascii="Times New Roman" w:hAnsi="Times New Roman" w:eastAsia="仿宋_GB2312" w:cs="Times New Roman"/>
          <w:sz w:val="32"/>
          <w:szCs w:val="32"/>
        </w:rPr>
        <w:t>为保障远程异地评标活动统一、规范、有序开展，提升全省公共资源交易场地、评标专家及评标系统等资源利用效率，</w:t>
      </w:r>
      <w:r>
        <w:rPr>
          <w:rFonts w:ascii="Times New Roman" w:hAnsi="Times New Roman" w:eastAsia="仿宋_GB2312"/>
          <w:spacing w:val="8"/>
          <w:sz w:val="32"/>
          <w:szCs w:val="32"/>
          <w:shd w:val="clear" w:color="auto" w:fill="FFFFFF"/>
        </w:rPr>
        <w:t>现将《</w:t>
      </w:r>
      <w:r>
        <w:rPr>
          <w:rFonts w:hint="eastAsia" w:ascii="Times New Roman" w:hAnsi="Times New Roman" w:eastAsia="仿宋_GB2312"/>
          <w:spacing w:val="8"/>
          <w:sz w:val="32"/>
          <w:szCs w:val="32"/>
          <w:shd w:val="clear" w:color="auto" w:fill="FFFFFF"/>
        </w:rPr>
        <w:t>河北省</w:t>
      </w:r>
      <w:r>
        <w:rPr>
          <w:rFonts w:hint="default" w:ascii="Times New Roman" w:hAnsi="Times New Roman" w:eastAsia="仿宋_GB2312"/>
          <w:spacing w:val="8"/>
          <w:sz w:val="32"/>
          <w:szCs w:val="32"/>
          <w:shd w:val="clear" w:color="auto" w:fill="FFFFFF"/>
        </w:rPr>
        <w:t>公共资源交易平台远程异地评标</w:t>
      </w:r>
      <w:r>
        <w:rPr>
          <w:rFonts w:hint="eastAsia" w:ascii="Times New Roman" w:hAnsi="Times New Roman" w:eastAsia="仿宋_GB2312"/>
          <w:spacing w:val="8"/>
          <w:sz w:val="32"/>
          <w:szCs w:val="32"/>
          <w:shd w:val="clear" w:color="auto" w:fill="FFFFFF"/>
        </w:rPr>
        <w:t>管理办法</w:t>
      </w:r>
      <w:r>
        <w:rPr>
          <w:rFonts w:hint="default" w:ascii="Times New Roman" w:hAnsi="Times New Roman" w:eastAsia="仿宋_GB2312"/>
          <w:spacing w:val="8"/>
          <w:sz w:val="32"/>
          <w:szCs w:val="32"/>
          <w:shd w:val="clear" w:color="auto" w:fill="FFFFFF"/>
        </w:rPr>
        <w:t>（试行）</w:t>
      </w:r>
      <w:r>
        <w:rPr>
          <w:rFonts w:ascii="Times New Roman" w:hAnsi="Times New Roman" w:eastAsia="仿宋_GB2312"/>
          <w:spacing w:val="8"/>
          <w:sz w:val="32"/>
          <w:szCs w:val="32"/>
          <w:shd w:val="clear" w:color="auto" w:fill="FFFFFF"/>
        </w:rPr>
        <w:t>》</w:t>
      </w:r>
      <w:r>
        <w:rPr>
          <w:rFonts w:hint="eastAsia" w:ascii="仿宋_GB2312" w:hAnsi="仿宋" w:eastAsia="仿宋_GB2312"/>
          <w:sz w:val="32"/>
          <w:szCs w:val="32"/>
        </w:rPr>
        <w:t>印发给你们，请遵照执行。　　</w:t>
      </w:r>
    </w:p>
    <w:p>
      <w:pPr>
        <w:spacing w:line="600" w:lineRule="exact"/>
        <w:jc w:val="both"/>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hint="eastAsia" w:ascii="仿宋_GB2312" w:hAnsi="仿宋" w:eastAsia="仿宋_GB2312"/>
          <w:color w:val="FF0000"/>
          <w:sz w:val="32"/>
          <w:szCs w:val="32"/>
        </w:rPr>
      </w:pPr>
      <w:r>
        <w:rPr>
          <w:rFonts w:hint="eastAsia" w:ascii="仿宋_GB2312" w:hAnsi="仿宋" w:eastAsia="仿宋_GB2312"/>
          <w:sz w:val="32"/>
          <w:szCs w:val="32"/>
        </w:rPr>
        <w:t xml:space="preserve">　　                     </w:t>
      </w:r>
      <w:r>
        <w:rPr>
          <w:rFonts w:hint="eastAsia" w:ascii="仿宋_GB2312" w:hAnsi="仿宋" w:eastAsia="仿宋_GB2312"/>
          <w:color w:val="FF0000"/>
          <w:sz w:val="32"/>
          <w:szCs w:val="32"/>
        </w:rPr>
        <w:t xml:space="preserve"> </w:t>
      </w:r>
    </w:p>
    <w:p>
      <w:pPr>
        <w:spacing w:line="600" w:lineRule="exact"/>
        <w:rPr>
          <w:rFonts w:ascii="仿宋_GB2312" w:hAnsi="仿宋" w:eastAsia="仿宋_GB2312"/>
          <w:sz w:val="32"/>
          <w:szCs w:val="32"/>
        </w:rPr>
      </w:pPr>
      <w:r>
        <w:rPr>
          <w:rFonts w:hint="default" w:ascii="仿宋_GB2312" w:hAnsi="仿宋" w:eastAsia="仿宋_GB2312"/>
          <w:color w:val="FF0000"/>
          <w:sz w:val="32"/>
          <w:szCs w:val="32"/>
        </w:rPr>
        <w:t xml:space="preserve">                         </w:t>
      </w:r>
      <w:r>
        <w:rPr>
          <w:rFonts w:hint="eastAsia" w:ascii="仿宋_GB2312" w:hAnsi="仿宋" w:eastAsia="仿宋_GB2312"/>
          <w:sz w:val="32"/>
          <w:szCs w:val="32"/>
        </w:rPr>
        <w:t>河北省政务服务管理办公室</w:t>
      </w:r>
    </w:p>
    <w:p>
      <w:pPr>
        <w:spacing w:line="600" w:lineRule="exact"/>
        <w:rPr>
          <w:rFonts w:hint="eastAsia" w:ascii="Times New Roman" w:hAnsi="Times New Roman" w:eastAsia="仿宋_GB2312" w:cs="Times New Roman"/>
          <w:bCs/>
          <w:spacing w:val="8"/>
          <w:kern w:val="0"/>
          <w:sz w:val="32"/>
          <w:szCs w:val="32"/>
          <w:shd w:val="clear" w:color="auto" w:fill="FFFFFF"/>
        </w:rPr>
      </w:pPr>
      <w:r>
        <w:rPr>
          <w:rFonts w:hint="eastAsia" w:ascii="仿宋_GB2312" w:hAnsi="仿宋" w:eastAsia="仿宋_GB2312"/>
          <w:sz w:val="32"/>
          <w:szCs w:val="32"/>
        </w:rPr>
        <w:t xml:space="preserve">　　                         </w:t>
      </w:r>
      <w:r>
        <w:rPr>
          <w:rFonts w:hint="eastAsia" w:ascii="Times New Roman" w:hAnsi="Times New Roman" w:eastAsia="仿宋_GB2312" w:cs="Times New Roman"/>
          <w:bCs/>
          <w:spacing w:val="8"/>
          <w:kern w:val="0"/>
          <w:sz w:val="32"/>
          <w:szCs w:val="32"/>
          <w:shd w:val="clear" w:color="auto" w:fill="FFFFFF"/>
        </w:rPr>
        <w:t>202</w:t>
      </w:r>
      <w:r>
        <w:rPr>
          <w:rFonts w:hint="default" w:ascii="Times New Roman" w:hAnsi="Times New Roman" w:eastAsia="仿宋_GB2312" w:cs="Times New Roman"/>
          <w:bCs/>
          <w:spacing w:val="8"/>
          <w:kern w:val="0"/>
          <w:sz w:val="32"/>
          <w:szCs w:val="32"/>
          <w:shd w:val="clear" w:color="auto" w:fill="FFFFFF"/>
        </w:rPr>
        <w:t>3</w:t>
      </w:r>
      <w:r>
        <w:rPr>
          <w:rFonts w:hint="eastAsia" w:ascii="Times New Roman" w:hAnsi="Times New Roman" w:eastAsia="仿宋_GB2312" w:cs="Times New Roman"/>
          <w:bCs/>
          <w:spacing w:val="8"/>
          <w:kern w:val="0"/>
          <w:sz w:val="32"/>
          <w:szCs w:val="32"/>
          <w:shd w:val="clear" w:color="auto" w:fill="FFFFFF"/>
        </w:rPr>
        <w:t>年</w:t>
      </w:r>
      <w:r>
        <w:rPr>
          <w:rFonts w:hint="default" w:ascii="Times New Roman" w:hAnsi="Times New Roman" w:eastAsia="仿宋_GB2312" w:cs="Times New Roman"/>
          <w:bCs/>
          <w:spacing w:val="8"/>
          <w:kern w:val="0"/>
          <w:sz w:val="32"/>
          <w:szCs w:val="32"/>
          <w:shd w:val="clear" w:color="auto" w:fill="FFFFFF"/>
        </w:rPr>
        <w:t>10</w:t>
      </w:r>
      <w:r>
        <w:rPr>
          <w:rFonts w:hint="eastAsia" w:ascii="Times New Roman" w:hAnsi="Times New Roman" w:eastAsia="仿宋_GB2312" w:cs="Times New Roman"/>
          <w:bCs/>
          <w:spacing w:val="8"/>
          <w:kern w:val="0"/>
          <w:sz w:val="32"/>
          <w:szCs w:val="32"/>
          <w:shd w:val="clear" w:color="auto" w:fill="FFFFFF"/>
        </w:rPr>
        <w:t>月</w:t>
      </w:r>
      <w:r>
        <w:rPr>
          <w:rFonts w:hint="default" w:ascii="Times New Roman" w:hAnsi="Times New Roman" w:eastAsia="仿宋_GB2312" w:cs="Times New Roman"/>
          <w:bCs/>
          <w:spacing w:val="8"/>
          <w:kern w:val="0"/>
          <w:sz w:val="32"/>
          <w:szCs w:val="32"/>
          <w:shd w:val="clear" w:color="auto" w:fill="FFFFFF"/>
        </w:rPr>
        <w:t>30</w:t>
      </w:r>
      <w:r>
        <w:rPr>
          <w:rFonts w:hint="eastAsia" w:ascii="Times New Roman" w:hAnsi="Times New Roman" w:eastAsia="仿宋_GB2312" w:cs="Times New Roman"/>
          <w:bCs/>
          <w:spacing w:val="8"/>
          <w:kern w:val="0"/>
          <w:sz w:val="32"/>
          <w:szCs w:val="32"/>
          <w:shd w:val="clear" w:color="auto" w:fill="FFFFFF"/>
        </w:rPr>
        <w:t>日</w:t>
      </w:r>
    </w:p>
    <w:p>
      <w:pPr>
        <w:spacing w:line="600" w:lineRule="exact"/>
        <w:rPr>
          <w:rFonts w:ascii="仿宋" w:hAnsi="仿宋" w:eastAsia="仿宋"/>
          <w:sz w:val="32"/>
          <w:szCs w:val="32"/>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8"/>
        <w:widowControl/>
        <w:shd w:val="clear" w:color="auto" w:fill="FFFFFF"/>
        <w:spacing w:beforeAutospacing="0" w:afterAutospacing="0" w:line="580" w:lineRule="exact"/>
        <w:jc w:val="both"/>
        <w:rPr>
          <w:rFonts w:hint="eastAsia" w:ascii="方正小标宋简体" w:hAnsi="方正小标宋简体" w:eastAsia="方正小标宋简体" w:cs="方正小标宋简体"/>
          <w:spacing w:val="8"/>
          <w:sz w:val="44"/>
          <w:szCs w:val="44"/>
          <w:shd w:val="clear" w:color="auto" w:fill="FFFFFF"/>
        </w:rPr>
      </w:pPr>
    </w:p>
    <w:p>
      <w:pPr>
        <w:bidi w:val="0"/>
        <w:rPr>
          <w:lang w:val="en-US" w:eastAsia="zh-CN"/>
        </w:rPr>
      </w:pPr>
    </w:p>
    <w:p>
      <w:pPr>
        <w:spacing w:line="600" w:lineRule="exact"/>
        <w:jc w:val="center"/>
        <w:rPr>
          <w:rFonts w:ascii="微软雅黑" w:hAnsi="微软雅黑" w:eastAsia="微软雅黑" w:cs="宋体"/>
          <w:b/>
          <w:bCs/>
          <w:sz w:val="24"/>
          <w:szCs w:val="24"/>
        </w:rPr>
      </w:pPr>
    </w:p>
    <w:p>
      <w:pPr>
        <w:spacing w:line="600" w:lineRule="exact"/>
        <w:jc w:val="center"/>
        <w:rPr>
          <w:rFonts w:ascii="方正小标宋简体" w:hAnsi="微软雅黑" w:eastAsia="方正小标宋简体" w:cs="宋体"/>
          <w:bCs/>
          <w:sz w:val="44"/>
          <w:szCs w:val="44"/>
        </w:rPr>
      </w:pPr>
      <w:r>
        <w:rPr>
          <w:rFonts w:hint="eastAsia" w:ascii="方正小标宋简体" w:hAnsi="微软雅黑" w:eastAsia="方正小标宋简体" w:cs="宋体"/>
          <w:bCs/>
          <w:sz w:val="44"/>
          <w:szCs w:val="44"/>
        </w:rPr>
        <w:t>河北省公共资源交易平台</w:t>
      </w:r>
    </w:p>
    <w:p>
      <w:pPr>
        <w:spacing w:line="600" w:lineRule="exact"/>
        <w:jc w:val="center"/>
        <w:rPr>
          <w:rFonts w:hint="default" w:ascii="方正小标宋简体" w:hAnsi="微软雅黑" w:eastAsia="方正小标宋简体" w:cs="宋体"/>
          <w:bCs/>
          <w:sz w:val="44"/>
          <w:szCs w:val="44"/>
        </w:rPr>
      </w:pPr>
      <w:r>
        <w:rPr>
          <w:rFonts w:hint="eastAsia" w:ascii="方正小标宋简体" w:hAnsi="微软雅黑" w:eastAsia="方正小标宋简体" w:cs="宋体"/>
          <w:bCs/>
          <w:sz w:val="44"/>
          <w:szCs w:val="44"/>
        </w:rPr>
        <w:t>远程异地评标管理办法</w:t>
      </w:r>
      <w:r>
        <w:rPr>
          <w:rFonts w:hint="default" w:ascii="方正小标宋简体" w:hAnsi="微软雅黑" w:eastAsia="方正小标宋简体" w:cs="宋体"/>
          <w:bCs/>
          <w:sz w:val="44"/>
          <w:szCs w:val="44"/>
        </w:rPr>
        <w:t>（试行）</w:t>
      </w:r>
    </w:p>
    <w:p>
      <w:pPr>
        <w:spacing w:line="560" w:lineRule="exact"/>
        <w:ind w:firstLine="640" w:firstLineChars="200"/>
        <w:jc w:val="left"/>
        <w:rPr>
          <w:rFonts w:ascii="黑体" w:hAnsi="黑体" w:eastAsia="黑体" w:cs="宋体"/>
          <w:sz w:val="32"/>
          <w:szCs w:val="32"/>
        </w:rPr>
      </w:pPr>
    </w:p>
    <w:p>
      <w:pPr>
        <w:spacing w:line="560" w:lineRule="exact"/>
        <w:ind w:firstLine="640" w:firstLineChars="200"/>
        <w:jc w:val="center"/>
        <w:rPr>
          <w:rFonts w:ascii="黑体" w:hAnsi="黑体" w:eastAsia="黑体" w:cs="宋体"/>
          <w:kern w:val="0"/>
          <w:sz w:val="32"/>
          <w:szCs w:val="32"/>
        </w:rPr>
      </w:pPr>
      <w:r>
        <w:rPr>
          <w:rFonts w:hint="eastAsia" w:ascii="黑体" w:hAnsi="黑体" w:eastAsia="黑体" w:cs="宋体"/>
          <w:sz w:val="32"/>
          <w:szCs w:val="32"/>
        </w:rPr>
        <w:t>第一章  总则</w:t>
      </w:r>
    </w:p>
    <w:p>
      <w:pPr>
        <w:spacing w:line="560" w:lineRule="exact"/>
        <w:ind w:firstLine="640" w:firstLineChars="200"/>
        <w:rPr>
          <w:rFonts w:ascii="Times New Roman" w:hAnsi="Times New Roman" w:eastAsia="仿宋_GB2312" w:cs="Times New Roman"/>
          <w:kern w:val="0"/>
          <w:sz w:val="32"/>
          <w:szCs w:val="32"/>
        </w:rPr>
      </w:pPr>
      <w:r>
        <w:rPr>
          <w:rFonts w:hint="eastAsia" w:ascii="黑体" w:hAnsi="黑体" w:eastAsia="黑体" w:cs="黑体"/>
          <w:sz w:val="32"/>
          <w:szCs w:val="32"/>
        </w:rPr>
        <w:t>第一条</w:t>
      </w:r>
      <w:r>
        <w:rPr>
          <w:rFonts w:hint="eastAsia" w:ascii="仿宋" w:hAnsi="仿宋" w:eastAsia="仿宋" w:cs="宋体"/>
          <w:sz w:val="32"/>
          <w:szCs w:val="32"/>
        </w:rPr>
        <w:t xml:space="preserve">  </w:t>
      </w:r>
      <w:r>
        <w:rPr>
          <w:rFonts w:ascii="Times New Roman" w:hAnsi="Times New Roman" w:eastAsia="仿宋_GB2312" w:cs="Times New Roman"/>
          <w:sz w:val="32"/>
          <w:szCs w:val="32"/>
        </w:rPr>
        <w:t>为保障远程异地评标活动统一、规范、有序开展，提升全省公共资源交易场地、评标专家及评标系统等资源的利用效率，根据《中华人民共和国招标投标法》《中华人民共和国招标投标法实施条例》《电子招标投标办法》《河北省公共资源交易平台服务管理细则》等法律法规</w:t>
      </w:r>
      <w:r>
        <w:rPr>
          <w:rFonts w:ascii="Times New Roman" w:hAnsi="Times New Roman" w:eastAsia="仿宋_GB2312" w:cs="Times New Roman"/>
          <w:sz w:val="32"/>
          <w:szCs w:val="32"/>
        </w:rPr>
        <w:t>和</w:t>
      </w:r>
      <w:r>
        <w:rPr>
          <w:rFonts w:ascii="Times New Roman" w:hAnsi="Times New Roman" w:eastAsia="仿宋_GB2312" w:cs="Times New Roman"/>
          <w:sz w:val="32"/>
          <w:szCs w:val="32"/>
        </w:rPr>
        <w:t xml:space="preserve">相关规定，结合我省实际，制定本办法。 </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第二条</w:t>
      </w:r>
      <w:r>
        <w:rPr>
          <w:rFonts w:ascii="Times New Roman" w:hAnsi="Times New Roman" w:eastAsia="仿宋_GB2312" w:cs="Times New Roman"/>
          <w:sz w:val="32"/>
          <w:szCs w:val="32"/>
        </w:rPr>
        <w:t xml:space="preserve">  本省行政区域内依法必须进行招标的工程建设项目远程异地评标适用本办法。</w:t>
      </w:r>
    </w:p>
    <w:p>
      <w:pPr>
        <w:spacing w:line="560" w:lineRule="exact"/>
        <w:ind w:firstLine="640" w:firstLineChars="200"/>
        <w:rPr>
          <w:rFonts w:ascii="Times New Roman" w:hAnsi="Times New Roman" w:eastAsia="仿宋_GB2312" w:cs="Times New Roman"/>
          <w:color w:val="auto"/>
          <w:sz w:val="32"/>
          <w:szCs w:val="32"/>
        </w:rPr>
      </w:pPr>
      <w:r>
        <w:rPr>
          <w:rFonts w:hint="eastAsia" w:ascii="黑体" w:hAnsi="黑体" w:eastAsia="黑体" w:cs="黑体"/>
          <w:sz w:val="32"/>
          <w:szCs w:val="32"/>
        </w:rPr>
        <w:t>第三条</w:t>
      </w:r>
      <w:r>
        <w:rPr>
          <w:rFonts w:ascii="Times New Roman" w:hAnsi="Times New Roman" w:eastAsia="仿宋_GB2312" w:cs="Times New Roman"/>
          <w:sz w:val="32"/>
          <w:szCs w:val="32"/>
        </w:rPr>
        <w:t xml:space="preserve">  </w:t>
      </w:r>
      <w:r>
        <w:rPr>
          <w:rFonts w:ascii="Times New Roman" w:hAnsi="Times New Roman" w:eastAsia="仿宋_GB2312" w:cs="Times New Roman"/>
          <w:color w:val="auto"/>
          <w:sz w:val="32"/>
          <w:szCs w:val="32"/>
        </w:rPr>
        <w:t>本办法所称</w:t>
      </w:r>
      <w:r>
        <w:rPr>
          <w:rFonts w:hint="eastAsia" w:ascii="仿宋_GB2312" w:hAnsi="仿宋_GB2312" w:eastAsia="仿宋_GB2312" w:cs="仿宋_GB2312"/>
          <w:color w:val="auto"/>
          <w:spacing w:val="5"/>
          <w:sz w:val="32"/>
          <w:szCs w:val="32"/>
        </w:rPr>
        <w:t>远程异地评标</w:t>
      </w:r>
      <w:r>
        <w:rPr>
          <w:rFonts w:hint="default" w:ascii="仿宋_GB2312" w:hAnsi="仿宋_GB2312" w:eastAsia="仿宋_GB2312" w:cs="仿宋_GB2312"/>
          <w:color w:val="auto"/>
          <w:spacing w:val="5"/>
          <w:sz w:val="32"/>
          <w:szCs w:val="32"/>
        </w:rPr>
        <w:t>是</w:t>
      </w:r>
      <w:r>
        <w:rPr>
          <w:rFonts w:hint="eastAsia" w:ascii="仿宋_GB2312" w:hAnsi="仿宋_GB2312" w:eastAsia="仿宋_GB2312" w:cs="仿宋_GB2312"/>
          <w:color w:val="auto"/>
          <w:spacing w:val="5"/>
          <w:sz w:val="32"/>
          <w:szCs w:val="32"/>
        </w:rPr>
        <w:t>指采用全流程电子化招标投标，依托全省各级电子招标投标交易系统（以下简称电子交易系统）和</w:t>
      </w:r>
      <w:r>
        <w:rPr>
          <w:rFonts w:hint="default" w:ascii="仿宋_GB2312" w:hAnsi="仿宋_GB2312" w:eastAsia="仿宋_GB2312" w:cs="仿宋_GB2312"/>
          <w:color w:val="auto"/>
          <w:spacing w:val="5"/>
          <w:sz w:val="32"/>
          <w:szCs w:val="32"/>
        </w:rPr>
        <w:t>河北省公共资源</w:t>
      </w:r>
      <w:r>
        <w:rPr>
          <w:rFonts w:hint="eastAsia" w:ascii="仿宋_GB2312" w:hAnsi="仿宋_GB2312" w:eastAsia="仿宋_GB2312" w:cs="仿宋_GB2312"/>
          <w:color w:val="auto"/>
          <w:spacing w:val="5"/>
          <w:sz w:val="32"/>
          <w:szCs w:val="32"/>
        </w:rPr>
        <w:t>远程异地评标协调系统（以下简称</w:t>
      </w:r>
      <w:r>
        <w:rPr>
          <w:rFonts w:hint="default" w:ascii="仿宋_GB2312" w:hAnsi="仿宋_GB2312" w:eastAsia="仿宋_GB2312" w:cs="仿宋_GB2312"/>
          <w:color w:val="auto"/>
          <w:spacing w:val="5"/>
          <w:sz w:val="32"/>
          <w:szCs w:val="32"/>
          <w:u w:val="none"/>
        </w:rPr>
        <w:t>“</w:t>
      </w:r>
      <w:r>
        <w:rPr>
          <w:rFonts w:hint="default" w:ascii="仿宋_GB2312" w:hAnsi="仿宋_GB2312" w:eastAsia="仿宋_GB2312" w:cs="仿宋_GB2312"/>
          <w:color w:val="auto"/>
          <w:spacing w:val="5"/>
          <w:sz w:val="32"/>
          <w:szCs w:val="32"/>
        </w:rPr>
        <w:t>省</w:t>
      </w:r>
      <w:r>
        <w:rPr>
          <w:rFonts w:hint="eastAsia" w:ascii="仿宋_GB2312" w:hAnsi="仿宋_GB2312" w:eastAsia="仿宋_GB2312" w:cs="仿宋_GB2312"/>
          <w:color w:val="auto"/>
          <w:spacing w:val="5"/>
          <w:sz w:val="32"/>
          <w:szCs w:val="32"/>
        </w:rPr>
        <w:t>远程异地协调系统</w:t>
      </w:r>
      <w:r>
        <w:rPr>
          <w:rFonts w:hint="default" w:ascii="仿宋_GB2312" w:hAnsi="仿宋_GB2312" w:eastAsia="仿宋_GB2312" w:cs="仿宋_GB2312"/>
          <w:color w:val="auto"/>
          <w:spacing w:val="5"/>
          <w:sz w:val="32"/>
          <w:szCs w:val="32"/>
          <w:u w:val="none"/>
        </w:rPr>
        <w:t>”</w:t>
      </w:r>
      <w:r>
        <w:rPr>
          <w:rFonts w:hint="eastAsia" w:ascii="仿宋_GB2312" w:hAnsi="仿宋_GB2312" w:eastAsia="仿宋_GB2312" w:cs="仿宋_GB2312"/>
          <w:color w:val="auto"/>
          <w:spacing w:val="5"/>
          <w:sz w:val="32"/>
          <w:szCs w:val="32"/>
        </w:rPr>
        <w:t>），在省统一评标专家库抽取项目受理地专家和异地专家，</w:t>
      </w:r>
      <w:r>
        <w:rPr>
          <w:rFonts w:hint="default" w:ascii="仿宋_GB2312" w:hAnsi="仿宋_GB2312" w:eastAsia="仿宋_GB2312" w:cs="仿宋_GB2312"/>
          <w:color w:val="auto"/>
          <w:spacing w:val="5"/>
          <w:sz w:val="32"/>
          <w:szCs w:val="32"/>
        </w:rPr>
        <w:t>在两个及以上地点</w:t>
      </w:r>
      <w:r>
        <w:rPr>
          <w:rFonts w:hint="eastAsia" w:ascii="仿宋_GB2312" w:hAnsi="仿宋_GB2312" w:eastAsia="仿宋_GB2312" w:cs="仿宋_GB2312"/>
          <w:color w:val="auto"/>
          <w:spacing w:val="5"/>
          <w:sz w:val="32"/>
          <w:szCs w:val="32"/>
        </w:rPr>
        <w:t>组建评标委员会，利用“互联网+”等信息化技术完成的项目评标活动</w:t>
      </w:r>
      <w:r>
        <w:rPr>
          <w:rFonts w:ascii="Times New Roman" w:hAnsi="Times New Roman" w:eastAsia="仿宋_GB2312" w:cs="Times New Roman"/>
          <w:color w:val="auto"/>
          <w:sz w:val="32"/>
          <w:szCs w:val="32"/>
        </w:rPr>
        <w:t>。</w:t>
      </w:r>
    </w:p>
    <w:p>
      <w:pPr>
        <w:spacing w:line="560" w:lineRule="exact"/>
        <w:ind w:firstLine="66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pacing w:val="5"/>
          <w:sz w:val="32"/>
          <w:szCs w:val="32"/>
        </w:rPr>
        <w:t>省远程协调系统</w:t>
      </w:r>
      <w:r>
        <w:rPr>
          <w:rFonts w:ascii="仿宋_GB2312" w:hAnsi="仿宋_GB2312" w:eastAsia="仿宋_GB2312" w:cs="仿宋_GB2312"/>
          <w:color w:val="auto"/>
          <w:spacing w:val="5"/>
          <w:sz w:val="32"/>
          <w:szCs w:val="32"/>
        </w:rPr>
        <w:t>是指为组织远程异地评标统一建设的电子系统，通过与各级公共资源交易平台和专家管理系统对接，将各级公共资源交易平台建设的远程异地评标席位纳入统一调度，为评标评审活动提供跨区域场地调度、专家资源共享、资料归档等统一协调服务。</w:t>
      </w:r>
    </w:p>
    <w:p>
      <w:pPr>
        <w:numPr>
          <w:ilvl w:val="-1"/>
          <w:numId w:val="0"/>
        </w:num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w:t>
      </w:r>
      <w:r>
        <w:rPr>
          <w:rFonts w:hint="default" w:ascii="黑体" w:hAnsi="黑体" w:eastAsia="黑体" w:cs="黑体"/>
          <w:sz w:val="32"/>
          <w:szCs w:val="32"/>
        </w:rPr>
        <w:t>四</w:t>
      </w:r>
      <w:r>
        <w:rPr>
          <w:rFonts w:hint="eastAsia" w:ascii="黑体" w:hAnsi="黑体" w:eastAsia="黑体" w:cs="黑体"/>
          <w:sz w:val="32"/>
          <w:szCs w:val="32"/>
        </w:rPr>
        <w:t>条</w:t>
      </w:r>
      <w:r>
        <w:rPr>
          <w:rFonts w:ascii="Times New Roman" w:hAnsi="Times New Roman" w:eastAsia="仿宋_GB2312" w:cs="Times New Roman"/>
          <w:sz w:val="32"/>
          <w:szCs w:val="32"/>
        </w:rPr>
        <w:t xml:space="preserve"> 本办法所称远程异地评标场地，是指由各级公共资源交易中心建设，符合远程异地评标要求的评标场所，分为主场和副场。主场、副场应</w:t>
      </w:r>
      <w:r>
        <w:rPr>
          <w:rFonts w:ascii="Times New Roman" w:hAnsi="Times New Roman" w:eastAsia="仿宋_GB2312" w:cs="Times New Roman"/>
          <w:color w:val="auto"/>
          <w:sz w:val="32"/>
          <w:szCs w:val="32"/>
        </w:rPr>
        <w:t>当</w:t>
      </w:r>
      <w:r>
        <w:rPr>
          <w:rFonts w:ascii="Times New Roman" w:hAnsi="Times New Roman" w:eastAsia="仿宋_GB2312" w:cs="Times New Roman"/>
          <w:sz w:val="32"/>
          <w:szCs w:val="32"/>
        </w:rPr>
        <w:t>分别设置在不同行政区域的公共资源交易中心，项目受理所在地公共资源交易中心评标场所为主场，所在地以外的评标场所为副场。</w:t>
      </w:r>
    </w:p>
    <w:p>
      <w:pPr>
        <w:numPr>
          <w:ilvl w:val="-1"/>
          <w:numId w:val="0"/>
        </w:num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第五条</w:t>
      </w: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副场一般随机确定，根据副场专家抽取结果确定所在地及数量。</w:t>
      </w:r>
    </w:p>
    <w:p>
      <w:pPr>
        <w:spacing w:line="560" w:lineRule="exact"/>
        <w:ind w:firstLine="676"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9"/>
          <w:sz w:val="32"/>
          <w:szCs w:val="32"/>
        </w:rPr>
        <w:t>因专业特殊、技术要求复杂、有特殊评标</w:t>
      </w:r>
      <w:r>
        <w:rPr>
          <w:rFonts w:hint="eastAsia" w:ascii="仿宋_GB2312" w:hAnsi="仿宋_GB2312" w:eastAsia="仿宋_GB2312" w:cs="仿宋_GB2312"/>
          <w:color w:val="auto"/>
          <w:spacing w:val="8"/>
          <w:sz w:val="32"/>
          <w:szCs w:val="32"/>
        </w:rPr>
        <w:t>要求，</w:t>
      </w:r>
      <w:r>
        <w:rPr>
          <w:rFonts w:hint="eastAsia" w:ascii="仿宋_GB2312" w:hAnsi="仿宋_GB2312" w:eastAsia="仿宋_GB2312" w:cs="仿宋_GB2312"/>
          <w:color w:val="auto"/>
          <w:spacing w:val="5"/>
          <w:sz w:val="32"/>
          <w:szCs w:val="32"/>
        </w:rPr>
        <w:t>采取随机方式确定副场无法满足评标需求的，</w:t>
      </w:r>
      <w:r>
        <w:rPr>
          <w:rFonts w:ascii="仿宋_GB2312" w:hAnsi="仿宋_GB2312" w:eastAsia="仿宋_GB2312" w:cs="仿宋_GB2312"/>
          <w:color w:val="auto"/>
          <w:spacing w:val="5"/>
          <w:sz w:val="32"/>
          <w:szCs w:val="32"/>
        </w:rPr>
        <w:t>经项目相关行政监督部门批准，</w:t>
      </w:r>
      <w:r>
        <w:rPr>
          <w:rFonts w:hint="eastAsia" w:ascii="仿宋_GB2312" w:hAnsi="仿宋_GB2312" w:eastAsia="仿宋_GB2312" w:cs="仿宋_GB2312"/>
          <w:color w:val="auto"/>
          <w:spacing w:val="8"/>
          <w:sz w:val="32"/>
          <w:szCs w:val="32"/>
        </w:rPr>
        <w:t>可以直接确定副场。</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w:t>
      </w:r>
      <w:r>
        <w:rPr>
          <w:rFonts w:hint="default" w:ascii="黑体" w:hAnsi="黑体" w:eastAsia="黑体" w:cs="黑体"/>
          <w:sz w:val="32"/>
          <w:szCs w:val="32"/>
        </w:rPr>
        <w:t>六</w:t>
      </w:r>
      <w:r>
        <w:rPr>
          <w:rFonts w:hint="eastAsia" w:ascii="黑体" w:hAnsi="黑体" w:eastAsia="黑体" w:cs="黑体"/>
          <w:sz w:val="32"/>
          <w:szCs w:val="32"/>
        </w:rPr>
        <w:t>条</w:t>
      </w:r>
      <w:r>
        <w:rPr>
          <w:rFonts w:ascii="Times New Roman" w:hAnsi="Times New Roman" w:eastAsia="仿宋_GB2312" w:cs="Times New Roman"/>
          <w:sz w:val="32"/>
          <w:szCs w:val="32"/>
        </w:rPr>
        <w:t xml:space="preserve">  本省行政区域内依法必须招标的工程建设项目符合下列条件之一的，应当采用远程异地评标：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(一)工程总承包单项合同估算价8000万元及以上的施工类项目；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(二)施工总承包单项合同估算价7000万元及以上的施工类项目；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(三)设备、材料等单项合同估算价1000万元及以上的采购类项目，需采购进口机电产品的从其规定；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(四)工程勘察、工程设计、监理服务单项合同估算价500万元及以上的服务类项目；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(五)招标人自愿申请采用远程异地评标的</w:t>
      </w:r>
      <w:r>
        <w:rPr>
          <w:rFonts w:ascii="Times New Roman" w:hAnsi="Times New Roman" w:eastAsia="仿宋_GB2312" w:cs="Times New Roman"/>
          <w:color w:val="auto"/>
          <w:sz w:val="32"/>
          <w:szCs w:val="32"/>
        </w:rPr>
        <w:t>项目</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(六)有关行政监督部门通过受理处理投诉后认为需要采取远程异地评标的</w:t>
      </w:r>
      <w:r>
        <w:rPr>
          <w:rFonts w:ascii="Times New Roman" w:hAnsi="Times New Roman" w:eastAsia="仿宋_GB2312" w:cs="Times New Roman"/>
          <w:color w:val="auto"/>
          <w:sz w:val="32"/>
          <w:szCs w:val="32"/>
        </w:rPr>
        <w:t>项目</w:t>
      </w:r>
      <w:r>
        <w:rPr>
          <w:rFonts w:ascii="Times New Roman" w:hAnsi="Times New Roman" w:eastAsia="仿宋_GB2312" w:cs="Times New Roman"/>
          <w:sz w:val="32"/>
          <w:szCs w:val="32"/>
        </w:rPr>
        <w:t>。</w:t>
      </w:r>
    </w:p>
    <w:p>
      <w:pPr>
        <w:spacing w:line="560" w:lineRule="exact"/>
        <w:ind w:firstLine="640" w:firstLineChars="200"/>
        <w:jc w:val="center"/>
        <w:rPr>
          <w:rFonts w:ascii="黑体" w:hAnsi="黑体" w:eastAsia="黑体" w:cs="宋体"/>
          <w:sz w:val="32"/>
          <w:szCs w:val="32"/>
        </w:rPr>
      </w:pPr>
    </w:p>
    <w:p>
      <w:pPr>
        <w:spacing w:line="560" w:lineRule="exact"/>
        <w:ind w:firstLine="640" w:firstLineChars="200"/>
        <w:jc w:val="center"/>
        <w:rPr>
          <w:rFonts w:ascii="黑体" w:hAnsi="黑体" w:eastAsia="黑体" w:cs="宋体"/>
          <w:kern w:val="0"/>
          <w:sz w:val="32"/>
          <w:szCs w:val="32"/>
        </w:rPr>
      </w:pPr>
      <w:r>
        <w:rPr>
          <w:rFonts w:hint="eastAsia" w:ascii="黑体" w:hAnsi="黑体" w:eastAsia="黑体" w:cs="宋体"/>
          <w:sz w:val="32"/>
          <w:szCs w:val="32"/>
        </w:rPr>
        <w:t>第二章  组织管理</w:t>
      </w:r>
    </w:p>
    <w:p>
      <w:pPr>
        <w:spacing w:line="560" w:lineRule="exact"/>
        <w:ind w:firstLine="640" w:firstLineChars="200"/>
        <w:rPr>
          <w:rFonts w:ascii="仿宋_GB2312" w:hAnsi="仿宋_GB2312" w:eastAsia="仿宋_GB2312" w:cs="仿宋_GB2312"/>
          <w:color w:val="auto"/>
          <w:spacing w:val="7"/>
          <w:sz w:val="32"/>
          <w:szCs w:val="32"/>
        </w:rPr>
      </w:pPr>
      <w:r>
        <w:rPr>
          <w:rFonts w:hint="eastAsia" w:ascii="黑体" w:hAnsi="黑体" w:eastAsia="黑体" w:cs="黑体"/>
          <w:sz w:val="32"/>
          <w:szCs w:val="32"/>
        </w:rPr>
        <w:t>第</w:t>
      </w:r>
      <w:r>
        <w:rPr>
          <w:rFonts w:hint="default" w:ascii="黑体" w:hAnsi="黑体" w:eastAsia="黑体" w:cs="黑体"/>
          <w:sz w:val="32"/>
          <w:szCs w:val="32"/>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省政务服务管理办公室会同</w:t>
      </w:r>
      <w:r>
        <w:rPr>
          <w:rFonts w:hint="default" w:ascii="仿宋_GB2312" w:hAnsi="仿宋_GB2312" w:eastAsia="仿宋_GB2312" w:cs="仿宋_GB2312"/>
          <w:sz w:val="32"/>
          <w:szCs w:val="32"/>
        </w:rPr>
        <w:t>省级</w:t>
      </w:r>
      <w:r>
        <w:rPr>
          <w:rFonts w:hint="eastAsia" w:ascii="仿宋_GB2312" w:hAnsi="仿宋_GB2312" w:eastAsia="仿宋_GB2312" w:cs="仿宋_GB2312"/>
          <w:sz w:val="32"/>
          <w:szCs w:val="32"/>
        </w:rPr>
        <w:t>相关行政监督部门统筹协调全省远程异地评标工作</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省政务服务管理办公室</w:t>
      </w:r>
      <w:r>
        <w:rPr>
          <w:rFonts w:hint="eastAsia" w:ascii="仿宋_GB2312" w:hAnsi="仿宋_GB2312" w:eastAsia="仿宋_GB2312" w:cs="仿宋_GB2312"/>
          <w:color w:val="auto"/>
          <w:spacing w:val="5"/>
          <w:sz w:val="32"/>
          <w:szCs w:val="32"/>
        </w:rPr>
        <w:t>负责建设和</w:t>
      </w:r>
      <w:r>
        <w:rPr>
          <w:rFonts w:hint="eastAsia" w:ascii="仿宋_GB2312" w:hAnsi="仿宋_GB2312" w:eastAsia="仿宋_GB2312" w:cs="仿宋_GB2312"/>
          <w:color w:val="auto"/>
          <w:spacing w:val="8"/>
          <w:sz w:val="32"/>
          <w:szCs w:val="32"/>
        </w:rPr>
        <w:t>管理</w:t>
      </w:r>
      <w:r>
        <w:rPr>
          <w:rFonts w:hint="eastAsia" w:ascii="仿宋_GB2312" w:hAnsi="仿宋_GB2312" w:eastAsia="仿宋_GB2312" w:cs="仿宋_GB2312"/>
          <w:color w:val="auto"/>
          <w:spacing w:val="5"/>
          <w:sz w:val="32"/>
          <w:szCs w:val="32"/>
        </w:rPr>
        <w:t>省远程异地协调系统，按照统一的数据交换接口标准与各级公共资源电子交易系统对接；制定河北省远程异地评标硬件设施建设标准</w:t>
      </w:r>
      <w:r>
        <w:rPr>
          <w:rFonts w:hint="eastAsia" w:ascii="仿宋_GB2312" w:hAnsi="仿宋_GB2312" w:eastAsia="仿宋_GB2312" w:cs="仿宋_GB2312"/>
          <w:color w:val="auto"/>
          <w:spacing w:val="-60"/>
          <w:sz w:val="32"/>
          <w:szCs w:val="32"/>
        </w:rPr>
        <w:t>；</w:t>
      </w:r>
      <w:r>
        <w:rPr>
          <w:rFonts w:hint="eastAsia" w:ascii="仿宋_GB2312" w:hAnsi="仿宋_GB2312" w:eastAsia="仿宋_GB2312" w:cs="仿宋_GB2312"/>
          <w:color w:val="auto"/>
          <w:spacing w:val="7"/>
          <w:sz w:val="32"/>
          <w:szCs w:val="32"/>
        </w:rPr>
        <w:t>组织对远程异地评标相关业务操作培训。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各市（含定州、辛集市）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雄安新区</w:t>
      </w:r>
      <w:r>
        <w:rPr>
          <w:rFonts w:hint="default" w:ascii="仿宋_GB2312" w:hAnsi="仿宋_GB2312" w:eastAsia="仿宋_GB2312" w:cs="仿宋_GB2312"/>
          <w:sz w:val="32"/>
          <w:szCs w:val="32"/>
        </w:rPr>
        <w:t>及所属</w:t>
      </w:r>
      <w:r>
        <w:rPr>
          <w:rFonts w:hint="eastAsia" w:ascii="仿宋_GB2312" w:hAnsi="仿宋_GB2312" w:eastAsia="仿宋_GB2312" w:cs="仿宋_GB2312"/>
          <w:sz w:val="32"/>
          <w:szCs w:val="32"/>
        </w:rPr>
        <w:t>县（市、区）招标投标</w:t>
      </w:r>
      <w:r>
        <w:rPr>
          <w:rFonts w:ascii="仿宋_GB2312" w:hAnsi="仿宋_GB2312" w:eastAsia="仿宋_GB2312" w:cs="仿宋_GB2312"/>
          <w:color w:val="auto"/>
          <w:sz w:val="32"/>
          <w:szCs w:val="32"/>
        </w:rPr>
        <w:t>指导协调</w:t>
      </w:r>
      <w:r>
        <w:rPr>
          <w:rFonts w:hint="eastAsia" w:ascii="仿宋_GB2312" w:hAnsi="仿宋_GB2312" w:eastAsia="仿宋_GB2312" w:cs="仿宋_GB2312"/>
          <w:sz w:val="32"/>
          <w:szCs w:val="32"/>
        </w:rPr>
        <w:t>部门会同</w:t>
      </w:r>
      <w:r>
        <w:rPr>
          <w:rFonts w:hint="default" w:ascii="仿宋_GB2312" w:hAnsi="仿宋_GB2312" w:eastAsia="仿宋_GB2312" w:cs="仿宋_GB2312"/>
          <w:sz w:val="32"/>
          <w:szCs w:val="32"/>
        </w:rPr>
        <w:t>本级</w:t>
      </w:r>
      <w:r>
        <w:rPr>
          <w:rFonts w:hint="eastAsia" w:ascii="仿宋_GB2312" w:hAnsi="仿宋_GB2312" w:eastAsia="仿宋_GB2312" w:cs="仿宋_GB2312"/>
          <w:sz w:val="32"/>
          <w:szCs w:val="32"/>
        </w:rPr>
        <w:t>相关行政监督部门统筹协调本行政区域内远程异地评标工作。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default" w:ascii="黑体" w:hAnsi="黑体" w:eastAsia="黑体" w:cs="黑体"/>
          <w:sz w:val="32"/>
          <w:szCs w:val="32"/>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各级相关行政监督部门</w:t>
      </w:r>
      <w:r>
        <w:rPr>
          <w:rFonts w:hint="default" w:ascii="仿宋_GB2312" w:hAnsi="仿宋_GB2312" w:eastAsia="仿宋_GB2312" w:cs="仿宋_GB2312"/>
          <w:sz w:val="32"/>
          <w:szCs w:val="32"/>
        </w:rPr>
        <w:t>应当</w:t>
      </w:r>
      <w:r>
        <w:rPr>
          <w:rFonts w:hint="eastAsia" w:ascii="仿宋_GB2312" w:hAnsi="仿宋_GB2312" w:eastAsia="仿宋_GB2312" w:cs="仿宋_GB2312"/>
          <w:sz w:val="32"/>
          <w:szCs w:val="32"/>
        </w:rPr>
        <w:t>按照职责分工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对远程异地评标活动进行监督管理，依法依规处理投诉、查处违法违规行为。</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w:t>
      </w:r>
      <w:r>
        <w:rPr>
          <w:rFonts w:hint="default" w:ascii="黑体" w:hAnsi="黑体" w:eastAsia="黑体" w:cs="黑体"/>
          <w:sz w:val="32"/>
          <w:szCs w:val="32"/>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各级公共资源交易中心</w:t>
      </w:r>
      <w:r>
        <w:rPr>
          <w:rFonts w:hint="default" w:ascii="仿宋_GB2312" w:hAnsi="仿宋_GB2312" w:eastAsia="仿宋_GB2312" w:cs="仿宋_GB2312"/>
          <w:color w:val="000000"/>
          <w:kern w:val="0"/>
          <w:sz w:val="32"/>
          <w:szCs w:val="32"/>
        </w:rPr>
        <w:t>应当</w:t>
      </w:r>
      <w:r>
        <w:rPr>
          <w:rFonts w:hint="eastAsia" w:ascii="仿宋_GB2312" w:hAnsi="仿宋_GB2312" w:eastAsia="仿宋_GB2312" w:cs="仿宋_GB2312"/>
          <w:color w:val="000000"/>
          <w:kern w:val="0"/>
          <w:sz w:val="32"/>
          <w:szCs w:val="32"/>
        </w:rPr>
        <w:t>按照全省远程异地评标数据交换标准和场地设施标准要求，配备和维护视音频通信、视频监控等相关设施设备；对接</w:t>
      </w:r>
      <w:r>
        <w:rPr>
          <w:rFonts w:hint="eastAsia" w:ascii="仿宋_GB2312" w:hAnsi="仿宋_GB2312" w:eastAsia="仿宋_GB2312" w:cs="仿宋_GB2312"/>
          <w:sz w:val="32"/>
          <w:szCs w:val="32"/>
        </w:rPr>
        <w:t>省远程协调系统，</w:t>
      </w:r>
      <w:r>
        <w:rPr>
          <w:rFonts w:hint="eastAsia" w:ascii="仿宋_GB2312" w:hAnsi="仿宋_GB2312" w:eastAsia="仿宋_GB2312" w:cs="仿宋_GB2312"/>
          <w:color w:val="000000"/>
          <w:kern w:val="0"/>
          <w:sz w:val="32"/>
          <w:szCs w:val="32"/>
        </w:rPr>
        <w:t>实现互联互通；做好远程异地评标过程见证和服务保障等工作。</w:t>
      </w:r>
    </w:p>
    <w:p>
      <w:pPr>
        <w:spacing w:line="560" w:lineRule="exact"/>
        <w:ind w:firstLine="640" w:firstLineChars="200"/>
        <w:rPr>
          <w:rFonts w:ascii="仿宋_GB2312" w:hAnsi="仿宋_GB2312" w:eastAsia="仿宋_GB2312" w:cs="仿宋_GB2312"/>
          <w:color w:val="auto"/>
          <w:kern w:val="0"/>
          <w:sz w:val="32"/>
          <w:szCs w:val="32"/>
        </w:rPr>
      </w:pP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rPr>
        <w:t xml:space="preserve">  招标人</w:t>
      </w:r>
      <w:r>
        <w:rPr>
          <w:rFonts w:hint="default" w:ascii="仿宋_GB2312" w:hAnsi="仿宋_GB2312" w:eastAsia="仿宋_GB2312" w:cs="仿宋_GB2312"/>
          <w:color w:val="000000"/>
          <w:kern w:val="0"/>
          <w:sz w:val="32"/>
          <w:szCs w:val="32"/>
        </w:rPr>
        <w:t>应当</w:t>
      </w:r>
      <w:r>
        <w:rPr>
          <w:rFonts w:hint="eastAsia" w:ascii="仿宋_GB2312" w:hAnsi="仿宋_GB2312" w:eastAsia="仿宋_GB2312" w:cs="仿宋_GB2312"/>
          <w:color w:val="000000"/>
          <w:kern w:val="0"/>
          <w:sz w:val="32"/>
          <w:szCs w:val="32"/>
        </w:rPr>
        <w:t>按照有关规定具体组织实施远程异地评标</w:t>
      </w:r>
      <w:r>
        <w:rPr>
          <w:rFonts w:hint="eastAsia" w:ascii="仿宋_GB2312" w:hAnsi="仿宋_GB2312" w:eastAsia="仿宋_GB2312" w:cs="仿宋_GB2312"/>
          <w:color w:val="auto"/>
          <w:kern w:val="0"/>
          <w:sz w:val="32"/>
          <w:szCs w:val="32"/>
        </w:rPr>
        <w:t>。</w:t>
      </w:r>
    </w:p>
    <w:p>
      <w:pPr>
        <w:spacing w:line="560" w:lineRule="exact"/>
        <w:ind w:firstLine="640" w:firstLineChars="200"/>
        <w:jc w:val="center"/>
        <w:rPr>
          <w:rFonts w:ascii="黑体" w:hAnsi="黑体" w:eastAsia="黑体" w:cs="宋体"/>
          <w:sz w:val="32"/>
          <w:szCs w:val="32"/>
        </w:rPr>
      </w:pPr>
    </w:p>
    <w:p>
      <w:pPr>
        <w:spacing w:line="560" w:lineRule="exact"/>
        <w:ind w:firstLine="640" w:firstLineChars="200"/>
        <w:jc w:val="center"/>
        <w:rPr>
          <w:rFonts w:ascii="黑体" w:hAnsi="黑体" w:eastAsia="黑体" w:cs="宋体"/>
          <w:kern w:val="0"/>
          <w:sz w:val="32"/>
          <w:szCs w:val="32"/>
        </w:rPr>
      </w:pPr>
      <w:r>
        <w:rPr>
          <w:rFonts w:hint="eastAsia" w:ascii="黑体" w:hAnsi="黑体" w:eastAsia="黑体" w:cs="宋体"/>
          <w:sz w:val="32"/>
          <w:szCs w:val="32"/>
        </w:rPr>
        <w:t>第三章  场地和机位安排</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远程异地评标项目采用主场负责制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主场公共资源交易中心</w:t>
      </w:r>
      <w:r>
        <w:rPr>
          <w:rFonts w:hint="default" w:ascii="仿宋_GB2312" w:hAnsi="仿宋_GB2312" w:eastAsia="仿宋_GB2312" w:cs="仿宋_GB2312"/>
          <w:sz w:val="32"/>
          <w:szCs w:val="32"/>
        </w:rPr>
        <w:t>应当</w:t>
      </w:r>
      <w:r>
        <w:rPr>
          <w:rFonts w:hint="eastAsia" w:ascii="仿宋_GB2312" w:hAnsi="仿宋_GB2312" w:eastAsia="仿宋_GB2312" w:cs="仿宋_GB2312"/>
          <w:sz w:val="32"/>
          <w:szCs w:val="32"/>
        </w:rPr>
        <w:t>做好远程异地评标项目过程见证、系统数据录入和维护等工作，协助招标人或其代理机构做好现场管理、秩序维护、</w:t>
      </w:r>
      <w:r>
        <w:rPr>
          <w:rFonts w:hint="eastAsia" w:ascii="仿宋_GB2312" w:hAnsi="仿宋_GB2312" w:eastAsia="仿宋_GB2312" w:cs="仿宋_GB2312"/>
          <w:color w:val="auto"/>
          <w:sz w:val="32"/>
          <w:szCs w:val="32"/>
        </w:rPr>
        <w:t>专家抽取、专家行为评价等工作，副场</w:t>
      </w:r>
      <w:r>
        <w:rPr>
          <w:rFonts w:hint="default"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rPr>
        <w:t>做好配合工作和评标秩序维护</w:t>
      </w:r>
      <w:r>
        <w:rPr>
          <w:rFonts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rPr>
        <w:t>。主、副场均应</w:t>
      </w:r>
      <w:r>
        <w:rPr>
          <w:rFonts w:ascii="仿宋_GB2312" w:hAnsi="仿宋_GB2312" w:eastAsia="仿宋_GB2312" w:cs="仿宋_GB2312"/>
          <w:color w:val="auto"/>
          <w:sz w:val="32"/>
          <w:szCs w:val="32"/>
        </w:rPr>
        <w:t>当</w:t>
      </w:r>
      <w:r>
        <w:rPr>
          <w:rFonts w:hint="eastAsia" w:ascii="仿宋_GB2312" w:hAnsi="仿宋_GB2312" w:eastAsia="仿宋_GB2312" w:cs="仿宋_GB2312"/>
          <w:color w:val="auto"/>
          <w:sz w:val="32"/>
          <w:szCs w:val="32"/>
        </w:rPr>
        <w:t>安</w:t>
      </w:r>
      <w:r>
        <w:rPr>
          <w:rFonts w:hint="eastAsia" w:ascii="仿宋_GB2312" w:hAnsi="仿宋_GB2312" w:eastAsia="仿宋_GB2312" w:cs="仿宋_GB2312"/>
          <w:sz w:val="32"/>
          <w:szCs w:val="32"/>
        </w:rPr>
        <w:t>排专职人员值守，及时处理相关问题。</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主场和副场均应</w:t>
      </w:r>
      <w:r>
        <w:rPr>
          <w:rFonts w:ascii="仿宋_GB2312" w:hAnsi="仿宋_GB2312" w:eastAsia="仿宋_GB2312" w:cs="仿宋_GB2312"/>
          <w:color w:val="auto"/>
          <w:sz w:val="32"/>
          <w:szCs w:val="32"/>
        </w:rPr>
        <w:t>当</w:t>
      </w:r>
      <w:r>
        <w:rPr>
          <w:rFonts w:hint="eastAsia" w:ascii="仿宋_GB2312" w:hAnsi="仿宋_GB2312" w:eastAsia="仿宋_GB2312" w:cs="仿宋_GB2312"/>
          <w:sz w:val="32"/>
          <w:szCs w:val="32"/>
        </w:rPr>
        <w:t>配置独立的远程异地评标机位，并按标准配置评标计算机、音频通话、视频监控、视频会议、桌面监控和身份识别认证等设施设备，满足远程异地评标所需软硬件要求。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副场如遇特殊情况，无法保障已经预约的机位，应</w:t>
      </w:r>
      <w:r>
        <w:rPr>
          <w:rFonts w:ascii="仿宋_GB2312" w:hAnsi="仿宋_GB2312" w:eastAsia="仿宋_GB2312" w:cs="仿宋_GB2312"/>
          <w:color w:val="auto"/>
          <w:sz w:val="32"/>
          <w:szCs w:val="32"/>
        </w:rPr>
        <w:t>当</w:t>
      </w:r>
      <w:r>
        <w:rPr>
          <w:rFonts w:hint="eastAsia" w:ascii="仿宋_GB2312" w:hAnsi="仿宋_GB2312" w:eastAsia="仿宋_GB2312" w:cs="仿宋_GB2312"/>
          <w:sz w:val="32"/>
          <w:szCs w:val="32"/>
        </w:rPr>
        <w:t>及时通知主场，并及时安排其他符合要求的机位</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向主场反馈相关信息；如无法安排其他符合要求机位，应</w:t>
      </w:r>
      <w:r>
        <w:rPr>
          <w:rFonts w:ascii="仿宋_GB2312" w:hAnsi="仿宋_GB2312" w:eastAsia="仿宋_GB2312" w:cs="仿宋_GB2312"/>
          <w:color w:val="auto"/>
          <w:sz w:val="32"/>
          <w:szCs w:val="32"/>
        </w:rPr>
        <w:t>当</w:t>
      </w:r>
      <w:r>
        <w:rPr>
          <w:rFonts w:hint="eastAsia" w:ascii="仿宋_GB2312" w:hAnsi="仿宋_GB2312" w:eastAsia="仿宋_GB2312" w:cs="仿宋_GB2312"/>
          <w:sz w:val="32"/>
          <w:szCs w:val="32"/>
        </w:rPr>
        <w:t>及时向主场反馈情况，主场重新向具备条件的其他副场申请远程异地评标。</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ascii="黑体" w:hAnsi="黑体" w:eastAsia="黑体" w:cs="黑体"/>
          <w:sz w:val="32"/>
          <w:szCs w:val="32"/>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远程异地评标如需评标延时的，所占用机位继续使用；也可经主副场协调一致后，将评委引导至其他远程异地评标机位继续评标。 </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ascii="黑体" w:hAnsi="黑体" w:eastAsia="黑体" w:cs="黑体"/>
          <w:sz w:val="32"/>
          <w:szCs w:val="32"/>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场地预约时，应</w:t>
      </w:r>
      <w:r>
        <w:rPr>
          <w:rFonts w:ascii="仿宋_GB2312" w:hAnsi="仿宋_GB2312" w:eastAsia="仿宋_GB2312" w:cs="仿宋_GB2312"/>
          <w:color w:val="auto"/>
          <w:sz w:val="32"/>
          <w:szCs w:val="32"/>
        </w:rPr>
        <w:t>当</w:t>
      </w:r>
      <w:r>
        <w:rPr>
          <w:rFonts w:hint="eastAsia" w:ascii="仿宋_GB2312" w:hAnsi="仿宋_GB2312" w:eastAsia="仿宋_GB2312" w:cs="仿宋_GB2312"/>
          <w:sz w:val="32"/>
          <w:szCs w:val="32"/>
        </w:rPr>
        <w:t>结合项目情况，充分考虑评标时间，原则上不少于2个小时。</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jc w:val="center"/>
        <w:rPr>
          <w:rFonts w:ascii="黑体" w:hAnsi="黑体" w:eastAsia="黑体" w:cs="宋体"/>
          <w:kern w:val="0"/>
          <w:sz w:val="32"/>
          <w:szCs w:val="32"/>
        </w:rPr>
      </w:pPr>
      <w:r>
        <w:rPr>
          <w:rFonts w:hint="eastAsia" w:ascii="黑体" w:hAnsi="黑体" w:eastAsia="黑体" w:cs="宋体"/>
          <w:sz w:val="32"/>
          <w:szCs w:val="32"/>
        </w:rPr>
        <w:t xml:space="preserve">第四章  </w:t>
      </w:r>
      <w:r>
        <w:rPr>
          <w:rFonts w:ascii="黑体" w:hAnsi="黑体" w:eastAsia="黑体" w:cs="宋体"/>
          <w:sz w:val="32"/>
          <w:szCs w:val="32"/>
        </w:rPr>
        <w:t>评标组织</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sz w:val="32"/>
          <w:szCs w:val="32"/>
        </w:rPr>
        <w:t>第十</w:t>
      </w:r>
      <w:r>
        <w:rPr>
          <w:rFonts w:ascii="黑体" w:hAnsi="黑体" w:eastAsia="黑体" w:cs="黑体"/>
          <w:sz w:val="32"/>
          <w:szCs w:val="32"/>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远程异地评标项目应</w:t>
      </w:r>
      <w:r>
        <w:rPr>
          <w:rFonts w:ascii="仿宋_GB2312" w:hAnsi="仿宋_GB2312" w:eastAsia="仿宋_GB2312" w:cs="仿宋_GB2312"/>
          <w:color w:val="auto"/>
          <w:sz w:val="32"/>
          <w:szCs w:val="32"/>
        </w:rPr>
        <w:t>当</w:t>
      </w:r>
      <w:r>
        <w:rPr>
          <w:rFonts w:hint="eastAsia" w:ascii="仿宋_GB2312" w:hAnsi="仿宋_GB2312" w:eastAsia="仿宋_GB2312" w:cs="仿宋_GB2312"/>
          <w:color w:val="auto"/>
          <w:sz w:val="32"/>
          <w:szCs w:val="32"/>
        </w:rPr>
        <w:t xml:space="preserve">按照公共资源交易受理程序办理场地预约手续。 </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color w:val="auto"/>
          <w:kern w:val="0"/>
          <w:sz w:val="32"/>
          <w:szCs w:val="32"/>
        </w:rPr>
        <w:t>第十</w:t>
      </w:r>
      <w:r>
        <w:rPr>
          <w:rFonts w:ascii="黑体" w:hAnsi="黑体" w:eastAsia="黑体" w:cs="黑体"/>
          <w:color w:val="auto"/>
          <w:kern w:val="0"/>
          <w:sz w:val="32"/>
          <w:szCs w:val="32"/>
        </w:rPr>
        <w:t>六</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远程异地评标的项目，招标人应</w:t>
      </w:r>
      <w:r>
        <w:rPr>
          <w:rFonts w:ascii="仿宋_GB2312" w:hAnsi="仿宋_GB2312" w:eastAsia="仿宋_GB2312" w:cs="仿宋_GB2312"/>
          <w:color w:val="auto"/>
          <w:kern w:val="0"/>
          <w:sz w:val="32"/>
          <w:szCs w:val="32"/>
        </w:rPr>
        <w:t>当按照副场专家多于主场专家原则，</w:t>
      </w:r>
      <w:r>
        <w:rPr>
          <w:rFonts w:hint="eastAsia" w:ascii="仿宋_GB2312" w:hAnsi="仿宋_GB2312" w:eastAsia="仿宋_GB2312" w:cs="仿宋_GB2312"/>
          <w:color w:val="000000"/>
          <w:kern w:val="0"/>
          <w:sz w:val="32"/>
          <w:szCs w:val="32"/>
        </w:rPr>
        <w:t>合理确定主场专家和副场专家数量</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sz w:val="32"/>
          <w:szCs w:val="32"/>
        </w:rPr>
        <w:t>第十</w:t>
      </w:r>
      <w:r>
        <w:rPr>
          <w:rFonts w:ascii="黑体" w:hAnsi="黑体" w:eastAsia="黑体" w:cs="黑体"/>
          <w:sz w:val="32"/>
          <w:szCs w:val="32"/>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招标人或其委托的招标代理机构应</w:t>
      </w:r>
      <w:r>
        <w:rPr>
          <w:rFonts w:ascii="仿宋_GB2312" w:hAnsi="仿宋_GB2312" w:eastAsia="仿宋_GB2312" w:cs="仿宋_GB2312"/>
          <w:color w:val="auto"/>
          <w:sz w:val="32"/>
          <w:szCs w:val="32"/>
        </w:rPr>
        <w:t>当</w:t>
      </w:r>
      <w:r>
        <w:rPr>
          <w:rFonts w:hint="eastAsia" w:ascii="仿宋_GB2312" w:hAnsi="仿宋_GB2312" w:eastAsia="仿宋_GB2312" w:cs="仿宋_GB2312"/>
          <w:color w:val="auto"/>
          <w:sz w:val="32"/>
          <w:szCs w:val="32"/>
        </w:rPr>
        <w:t>按规定在省统一评标专家库中随机抽取主场和副场所在地的评标专家。招标人代表在主场参加评标工作。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评标专家在确认参加评标后，因故不能参加评标的，应</w:t>
      </w:r>
      <w:r>
        <w:rPr>
          <w:rFonts w:ascii="仿宋_GB2312" w:hAnsi="仿宋_GB2312" w:eastAsia="仿宋_GB2312" w:cs="仿宋_GB2312"/>
          <w:color w:val="auto"/>
          <w:sz w:val="32"/>
          <w:szCs w:val="32"/>
        </w:rPr>
        <w:t>当</w:t>
      </w:r>
      <w:r>
        <w:rPr>
          <w:rFonts w:hint="eastAsia" w:ascii="仿宋_GB2312" w:hAnsi="仿宋_GB2312" w:eastAsia="仿宋_GB2312" w:cs="仿宋_GB2312"/>
          <w:color w:val="auto"/>
          <w:sz w:val="32"/>
          <w:szCs w:val="32"/>
        </w:rPr>
        <w:t>按程序及时进行补抽。</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ascii="黑体" w:hAnsi="黑体" w:eastAsia="黑体" w:cs="黑体"/>
          <w:sz w:val="32"/>
          <w:szCs w:val="32"/>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评标委员会负责人</w:t>
      </w:r>
      <w:r>
        <w:rPr>
          <w:rFonts w:hint="default" w:ascii="仿宋_GB2312" w:hAnsi="仿宋_GB2312" w:eastAsia="仿宋_GB2312" w:cs="仿宋_GB2312"/>
          <w:sz w:val="32"/>
          <w:szCs w:val="32"/>
        </w:rPr>
        <w:t>应当</w:t>
      </w:r>
      <w:r>
        <w:rPr>
          <w:rFonts w:hint="eastAsia" w:ascii="仿宋_GB2312" w:hAnsi="仿宋_GB2312" w:eastAsia="仿宋_GB2312" w:cs="仿宋_GB2312"/>
          <w:sz w:val="32"/>
          <w:szCs w:val="32"/>
        </w:rPr>
        <w:t>由评标委员会成员推举产生或者由招标人确定。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ascii="黑体" w:hAnsi="黑体" w:eastAsia="黑体" w:cs="黑体"/>
          <w:sz w:val="32"/>
          <w:szCs w:val="32"/>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评标委员会成员应当按照法律法规和招标文件要求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独立客观公正评标，主、副场评标委员会成员具有同等权利和义务。</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评标过程中，评标委员会需讨论时应当使用评标视频会议系统。讨论意见无法</w:t>
      </w:r>
      <w:r>
        <w:rPr>
          <w:rFonts w:hint="default" w:ascii="仿宋_GB2312" w:hAnsi="仿宋_GB2312" w:eastAsia="仿宋_GB2312" w:cs="仿宋_GB2312"/>
          <w:sz w:val="32"/>
          <w:szCs w:val="32"/>
        </w:rPr>
        <w:t>达成一致</w:t>
      </w:r>
      <w:r>
        <w:rPr>
          <w:rFonts w:hint="eastAsia" w:ascii="仿宋_GB2312" w:hAnsi="仿宋_GB2312" w:eastAsia="仿宋_GB2312" w:cs="仿宋_GB2312"/>
          <w:sz w:val="32"/>
          <w:szCs w:val="32"/>
        </w:rPr>
        <w:t>时，应当按照少数服从多数的原则表决；评标委员会成</w:t>
      </w:r>
      <w:r>
        <w:rPr>
          <w:rFonts w:hint="eastAsia" w:ascii="仿宋_GB2312" w:hAnsi="仿宋_GB2312" w:eastAsia="仿宋_GB2312" w:cs="仿宋_GB2312"/>
          <w:color w:val="auto"/>
          <w:sz w:val="32"/>
          <w:szCs w:val="32"/>
        </w:rPr>
        <w:t>员</w:t>
      </w:r>
      <w:r>
        <w:rPr>
          <w:rFonts w:ascii="仿宋_GB2312" w:hAnsi="仿宋_GB2312" w:eastAsia="仿宋_GB2312" w:cs="仿宋_GB2312"/>
          <w:color w:val="auto"/>
          <w:sz w:val="32"/>
          <w:szCs w:val="32"/>
        </w:rPr>
        <w:t>仍</w:t>
      </w:r>
      <w:r>
        <w:rPr>
          <w:rFonts w:hint="eastAsia" w:ascii="仿宋_GB2312" w:hAnsi="仿宋_GB2312" w:eastAsia="仿宋_GB2312" w:cs="仿宋_GB2312"/>
          <w:color w:val="auto"/>
          <w:sz w:val="32"/>
          <w:szCs w:val="32"/>
        </w:rPr>
        <w:t>保留意见的，应</w:t>
      </w:r>
      <w:r>
        <w:rPr>
          <w:rFonts w:ascii="仿宋_GB2312" w:hAnsi="仿宋_GB2312" w:eastAsia="仿宋_GB2312" w:cs="仿宋_GB2312"/>
          <w:color w:val="auto"/>
          <w:sz w:val="32"/>
          <w:szCs w:val="32"/>
        </w:rPr>
        <w:t>当</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sz w:val="32"/>
          <w:szCs w:val="32"/>
        </w:rPr>
        <w:t>评标报告中注明。</w:t>
      </w:r>
    </w:p>
    <w:p>
      <w:pPr>
        <w:spacing w:line="560" w:lineRule="exact"/>
        <w:ind w:firstLine="640" w:firstLineChars="200"/>
        <w:rPr>
          <w:rFonts w:ascii="仿宋_GB2312" w:hAnsi="仿宋_GB2312" w:eastAsia="仿宋_GB2312" w:cs="仿宋_GB2312"/>
          <w:color w:val="auto"/>
          <w:kern w:val="0"/>
          <w:sz w:val="32"/>
          <w:szCs w:val="32"/>
        </w:rPr>
      </w:pPr>
      <w:r>
        <w:rPr>
          <w:rFonts w:hint="eastAsia" w:ascii="黑体" w:hAnsi="黑体" w:eastAsia="黑体" w:cs="黑体"/>
          <w:sz w:val="32"/>
          <w:szCs w:val="32"/>
        </w:rPr>
        <w:t>第二十</w:t>
      </w:r>
      <w:r>
        <w:rPr>
          <w:rFonts w:ascii="黑体" w:hAnsi="黑体" w:eastAsia="黑体" w:cs="黑体"/>
          <w:sz w:val="32"/>
          <w:szCs w:val="32"/>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远程异地评标项目，原则上不要求投标人提供纸质原件资料</w:t>
      </w:r>
      <w:r>
        <w:rPr>
          <w:rFonts w:hint="default" w:ascii="仿宋_GB2312" w:hAnsi="仿宋_GB2312" w:eastAsia="仿宋_GB2312" w:cs="仿宋_GB2312"/>
          <w:sz w:val="32"/>
          <w:szCs w:val="32"/>
        </w:rPr>
        <w:t>。招标文件规定需提供纸质原件的</w:t>
      </w:r>
      <w:r>
        <w:rPr>
          <w:rFonts w:hint="eastAsia" w:ascii="仿宋_GB2312" w:hAnsi="仿宋_GB2312" w:eastAsia="仿宋_GB2312" w:cs="仿宋_GB2312"/>
          <w:sz w:val="32"/>
          <w:szCs w:val="32"/>
        </w:rPr>
        <w:t>，评标过程中，由主场评标委员会成员代为查验，全体评标委员会成员进行认可</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评标过程中，</w:t>
      </w:r>
      <w:r>
        <w:rPr>
          <w:rFonts w:hint="eastAsia" w:ascii="仿宋_GB2312" w:hAnsi="仿宋_GB2312" w:eastAsia="仿宋_GB2312" w:cs="仿宋_GB2312"/>
          <w:color w:val="auto"/>
          <w:sz w:val="32"/>
          <w:szCs w:val="32"/>
        </w:rPr>
        <w:t>需要投标人作出澄清说明的，</w:t>
      </w:r>
      <w:r>
        <w:rPr>
          <w:rFonts w:hint="default"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rPr>
        <w:t xml:space="preserve">通过主场在线完成澄清说明。 </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ascii="黑体" w:hAnsi="黑体" w:eastAsia="黑体" w:cs="黑体"/>
          <w:sz w:val="32"/>
          <w:szCs w:val="32"/>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评标委员会成</w:t>
      </w:r>
      <w:r>
        <w:rPr>
          <w:rFonts w:hint="eastAsia" w:ascii="仿宋_GB2312" w:hAnsi="仿宋_GB2312" w:eastAsia="仿宋_GB2312" w:cs="仿宋_GB2312"/>
          <w:color w:val="auto"/>
          <w:sz w:val="32"/>
          <w:szCs w:val="32"/>
        </w:rPr>
        <w:t>员</w:t>
      </w:r>
      <w:r>
        <w:rPr>
          <w:rFonts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rPr>
        <w:t>在</w:t>
      </w:r>
      <w:r>
        <w:rPr>
          <w:rFonts w:hint="default" w:ascii="仿宋_GB2312" w:hAnsi="仿宋_GB2312" w:eastAsia="仿宋_GB2312" w:cs="仿宋_GB2312"/>
          <w:color w:val="auto"/>
          <w:sz w:val="32"/>
          <w:szCs w:val="32"/>
        </w:rPr>
        <w:t>完成</w:t>
      </w:r>
      <w:r>
        <w:rPr>
          <w:rFonts w:hint="eastAsia" w:ascii="仿宋_GB2312" w:hAnsi="仿宋_GB2312" w:eastAsia="仿宋_GB2312" w:cs="仿宋_GB2312"/>
          <w:sz w:val="32"/>
          <w:szCs w:val="32"/>
        </w:rPr>
        <w:t xml:space="preserve">签署个人评审表、评标汇总表和评标报告等文件，且在收到主场下达评标结束指令后方可离场。 </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ascii="黑体" w:hAnsi="黑体" w:eastAsia="黑体" w:cs="黑体"/>
          <w:sz w:val="32"/>
          <w:szCs w:val="32"/>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远程异地评标项目需要对评标结果进行复核的，招标人应</w:t>
      </w:r>
      <w:r>
        <w:rPr>
          <w:rFonts w:ascii="仿宋_GB2312" w:hAnsi="仿宋_GB2312" w:eastAsia="仿宋_GB2312" w:cs="仿宋_GB2312"/>
          <w:color w:val="auto"/>
          <w:sz w:val="32"/>
          <w:szCs w:val="32"/>
        </w:rPr>
        <w:t>当</w:t>
      </w:r>
      <w:r>
        <w:rPr>
          <w:rFonts w:hint="eastAsia" w:ascii="仿宋_GB2312" w:hAnsi="仿宋_GB2312" w:eastAsia="仿宋_GB2312" w:cs="仿宋_GB2312"/>
          <w:sz w:val="32"/>
          <w:szCs w:val="32"/>
        </w:rPr>
        <w:t>按有关规定和程序报</w:t>
      </w:r>
      <w:r>
        <w:rPr>
          <w:rFonts w:hint="default" w:ascii="仿宋_GB2312" w:hAnsi="仿宋_GB2312" w:eastAsia="仿宋_GB2312" w:cs="仿宋_GB2312"/>
          <w:sz w:val="32"/>
          <w:szCs w:val="32"/>
        </w:rPr>
        <w:t>经</w:t>
      </w:r>
      <w:r>
        <w:rPr>
          <w:rFonts w:hint="eastAsia" w:ascii="仿宋_GB2312" w:hAnsi="仿宋_GB2312" w:eastAsia="仿宋_GB2312" w:cs="仿宋_GB2312"/>
          <w:sz w:val="32"/>
          <w:szCs w:val="32"/>
        </w:rPr>
        <w:t>行政监督部门同意后，通过发布招标公告的电子交易平台同步公示，并组织原评标委员会成员采用远程异地方式复核</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原评标专家因故不能参加复核的，可以补抽。</w:t>
      </w:r>
    </w:p>
    <w:p>
      <w:pPr>
        <w:pStyle w:val="3"/>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第二十</w:t>
      </w:r>
      <w:r>
        <w:rPr>
          <w:rFonts w:ascii="黑体" w:hAnsi="黑体" w:eastAsia="黑体" w:cs="黑体"/>
          <w:sz w:val="32"/>
          <w:szCs w:val="32"/>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评标结束后，副场交易中心应</w:t>
      </w:r>
      <w:r>
        <w:rPr>
          <w:rFonts w:ascii="仿宋_GB2312" w:hAnsi="仿宋_GB2312" w:eastAsia="仿宋_GB2312" w:cs="仿宋_GB2312"/>
          <w:color w:val="auto"/>
          <w:sz w:val="32"/>
          <w:szCs w:val="32"/>
        </w:rPr>
        <w:t>当</w:t>
      </w:r>
      <w:r>
        <w:rPr>
          <w:rFonts w:hint="eastAsia" w:ascii="仿宋_GB2312" w:hAnsi="仿宋_GB2312" w:eastAsia="仿宋_GB2312" w:cs="仿宋_GB2312"/>
          <w:sz w:val="32"/>
          <w:szCs w:val="32"/>
        </w:rPr>
        <w:t>将远程异地评标活动过程中产生的电子文档、纸质资料和音视频资料等在3个工作日内移交给主场交易</w:t>
      </w:r>
      <w:r>
        <w:rPr>
          <w:rFonts w:ascii="仿宋_GB2312" w:hAnsi="仿宋_GB2312" w:eastAsia="仿宋_GB2312" w:cs="仿宋_GB2312"/>
          <w:color w:val="auto"/>
          <w:sz w:val="32"/>
          <w:szCs w:val="32"/>
        </w:rPr>
        <w:t>中心</w:t>
      </w:r>
      <w:r>
        <w:rPr>
          <w:rFonts w:hint="eastAsia" w:ascii="仿宋_GB2312" w:hAnsi="仿宋_GB2312" w:eastAsia="仿宋_GB2312" w:cs="仿宋_GB2312"/>
          <w:sz w:val="32"/>
          <w:szCs w:val="32"/>
        </w:rPr>
        <w:t>，其中纸质资料按照主副场交易中心双方约定方式移交，电子文件通过省远程异地评标协调系统移交。招标人或招标代理机构应</w:t>
      </w:r>
      <w:r>
        <w:rPr>
          <w:rFonts w:ascii="仿宋_GB2312" w:hAnsi="仿宋_GB2312" w:eastAsia="仿宋_GB2312" w:cs="仿宋_GB2312"/>
          <w:color w:val="auto"/>
          <w:sz w:val="32"/>
          <w:szCs w:val="32"/>
        </w:rPr>
        <w:t>当</w:t>
      </w:r>
      <w:r>
        <w:rPr>
          <w:rFonts w:hint="eastAsia" w:ascii="仿宋_GB2312" w:hAnsi="仿宋_GB2312" w:eastAsia="仿宋_GB2312" w:cs="仿宋_GB2312"/>
          <w:sz w:val="32"/>
          <w:szCs w:val="32"/>
        </w:rPr>
        <w:t>从主场交易中心获取相关资料</w:t>
      </w:r>
      <w:r>
        <w:rPr>
          <w:rFonts w:hint="default" w:ascii="仿宋_GB2312" w:hAnsi="仿宋_GB2312" w:eastAsia="仿宋_GB2312" w:cs="仿宋_GB2312"/>
          <w:sz w:val="32"/>
          <w:szCs w:val="32"/>
        </w:rPr>
        <w:t>并</w:t>
      </w:r>
      <w:r>
        <w:rPr>
          <w:rFonts w:hint="eastAsia" w:ascii="仿宋_GB2312" w:hAnsi="仿宋_GB2312" w:eastAsia="仿宋_GB2312" w:cs="仿宋_GB2312"/>
          <w:sz w:val="32"/>
          <w:szCs w:val="32"/>
        </w:rPr>
        <w:t>进行归档保存</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保存期限按</w:t>
      </w:r>
      <w:r>
        <w:rPr>
          <w:rFonts w:hint="default" w:ascii="仿宋_GB2312" w:hAnsi="仿宋_GB2312" w:eastAsia="仿宋_GB2312" w:cs="仿宋_GB2312"/>
          <w:sz w:val="32"/>
          <w:szCs w:val="32"/>
        </w:rPr>
        <w:t>照</w:t>
      </w:r>
      <w:r>
        <w:rPr>
          <w:rFonts w:hint="eastAsia" w:ascii="仿宋_GB2312" w:hAnsi="仿宋_GB2312" w:eastAsia="仿宋_GB2312" w:cs="仿宋_GB2312"/>
          <w:sz w:val="32"/>
          <w:szCs w:val="32"/>
        </w:rPr>
        <w:t xml:space="preserve">各行业规定执行。 </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第二十</w:t>
      </w:r>
      <w:r>
        <w:rPr>
          <w:rFonts w:ascii="黑体" w:hAnsi="黑体" w:eastAsia="黑体" w:cs="黑体"/>
          <w:sz w:val="32"/>
          <w:szCs w:val="32"/>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评标专家劳务</w:t>
      </w:r>
      <w:r>
        <w:rPr>
          <w:rFonts w:hint="default" w:ascii="仿宋_GB2312" w:hAnsi="仿宋_GB2312" w:eastAsia="仿宋_GB2312" w:cs="仿宋_GB2312"/>
          <w:sz w:val="32"/>
          <w:szCs w:val="32"/>
        </w:rPr>
        <w:t>报酬</w:t>
      </w:r>
      <w:r>
        <w:rPr>
          <w:rFonts w:hint="eastAsia" w:ascii="仿宋_GB2312" w:hAnsi="仿宋_GB2312" w:eastAsia="仿宋_GB2312" w:cs="仿宋_GB2312"/>
          <w:sz w:val="32"/>
          <w:szCs w:val="32"/>
        </w:rPr>
        <w:t>由招标人或招标代理机构按照省统一标准，</w:t>
      </w:r>
      <w:r>
        <w:rPr>
          <w:rFonts w:hint="eastAsia" w:ascii="仿宋_GB2312" w:hAnsi="仿宋_GB2312" w:eastAsia="仿宋_GB2312" w:cs="仿宋_GB2312"/>
          <w:color w:val="auto"/>
          <w:sz w:val="32"/>
          <w:szCs w:val="32"/>
        </w:rPr>
        <w:t>以银行转账方式及时支付</w:t>
      </w:r>
      <w:r>
        <w:rPr>
          <w:rFonts w:hint="eastAsia" w:ascii="仿宋_GB2312" w:hAnsi="仿宋_GB2312" w:eastAsia="仿宋_GB2312" w:cs="仿宋_GB2312"/>
          <w:sz w:val="32"/>
          <w:szCs w:val="32"/>
        </w:rPr>
        <w:t>到专家银行卡账户。</w:t>
      </w:r>
    </w:p>
    <w:p>
      <w:pPr>
        <w:numPr>
          <w:ilvl w:val="0"/>
          <w:numId w:val="2"/>
        </w:numPr>
        <w:spacing w:line="560" w:lineRule="exact"/>
        <w:ind w:firstLine="640" w:firstLineChars="200"/>
        <w:jc w:val="center"/>
        <w:rPr>
          <w:rFonts w:ascii="黑体" w:hAnsi="黑体" w:eastAsia="黑体" w:cs="宋体"/>
          <w:sz w:val="32"/>
          <w:szCs w:val="32"/>
        </w:rPr>
      </w:pPr>
      <w:r>
        <w:rPr>
          <w:rFonts w:ascii="黑体" w:hAnsi="黑体" w:eastAsia="黑体" w:cs="宋体"/>
          <w:sz w:val="32"/>
          <w:szCs w:val="32"/>
        </w:rPr>
        <w:t xml:space="preserve"> 应急处置</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ascii="黑体" w:hAnsi="黑体" w:eastAsia="黑体" w:cs="黑体"/>
          <w:sz w:val="32"/>
          <w:szCs w:val="32"/>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各级公共资源交易中心应当建立远程异地评标应急管理制度，制定应急处理预案，确保出现紧急情况时能够迅速反应，保障评标活动有序开展。</w:t>
      </w:r>
    </w:p>
    <w:p>
      <w:pPr>
        <w:keepNext w:val="0"/>
        <w:keepLines w:val="0"/>
        <w:widowControl/>
        <w:suppressLineNumbers w:val="0"/>
        <w:spacing w:line="560" w:lineRule="exact"/>
        <w:ind w:firstLine="660" w:firstLineChars="200"/>
        <w:jc w:val="left"/>
      </w:pPr>
      <w:r>
        <w:rPr>
          <w:rFonts w:hint="eastAsia" w:ascii="黑体" w:hAnsi="黑体" w:eastAsia="黑体" w:cs="黑体"/>
          <w:color w:val="auto"/>
          <w:spacing w:val="5"/>
          <w:sz w:val="32"/>
          <w:szCs w:val="32"/>
        </w:rPr>
        <w:t>第</w:t>
      </w:r>
      <w:r>
        <w:rPr>
          <w:rFonts w:ascii="黑体" w:hAnsi="黑体" w:eastAsia="黑体" w:cs="黑体"/>
          <w:color w:val="auto"/>
          <w:spacing w:val="5"/>
          <w:sz w:val="32"/>
          <w:szCs w:val="32"/>
        </w:rPr>
        <w:t>二十七</w:t>
      </w:r>
      <w:r>
        <w:rPr>
          <w:rFonts w:hint="eastAsia" w:ascii="黑体" w:hAnsi="黑体" w:eastAsia="黑体" w:cs="黑体"/>
          <w:color w:val="auto"/>
          <w:spacing w:val="5"/>
          <w:sz w:val="32"/>
          <w:szCs w:val="32"/>
        </w:rPr>
        <w:t>条</w:t>
      </w:r>
      <w:r>
        <w:rPr>
          <w:rFonts w:hint="eastAsia" w:ascii="仿宋_GB2312" w:hAnsi="仿宋_GB2312" w:eastAsia="仿宋_GB2312" w:cs="仿宋_GB2312"/>
          <w:color w:val="auto"/>
          <w:spacing w:val="5"/>
          <w:sz w:val="32"/>
          <w:szCs w:val="32"/>
        </w:rPr>
        <w:t xml:space="preserve"> </w:t>
      </w:r>
      <w:r>
        <w:rPr>
          <w:rFonts w:ascii="仿宋_GB2312" w:hAnsi="仿宋_GB2312" w:eastAsia="仿宋_GB2312" w:cs="仿宋_GB2312"/>
          <w:color w:val="auto"/>
          <w:spacing w:val="5"/>
          <w:sz w:val="32"/>
          <w:szCs w:val="32"/>
        </w:rPr>
        <w:t xml:space="preserve"> </w:t>
      </w:r>
      <w:r>
        <w:rPr>
          <w:rFonts w:ascii="仿宋_GB2312" w:hAnsi="仿宋_GB2312" w:eastAsia="仿宋_GB2312" w:cs="仿宋_GB2312"/>
          <w:color w:val="auto"/>
          <w:spacing w:val="5"/>
          <w:sz w:val="32"/>
          <w:szCs w:val="32"/>
          <w:lang w:val="en-US" w:eastAsia="zh-CN"/>
        </w:rPr>
        <w:t>在评标活动开始前，因主场或副场网络故障、电子设备或者评标系统故障，以及其他原因导致无法正常评标时，招标人可以延迟评标开始时间，待故障解除后开始评标；超过评标开始时间</w:t>
      </w:r>
      <w:r>
        <w:rPr>
          <w:rFonts w:hint="default" w:ascii="仿宋_GB2312" w:hAnsi="仿宋_GB2312" w:eastAsia="仿宋_GB2312" w:cs="仿宋_GB2312"/>
          <w:color w:val="auto"/>
          <w:spacing w:val="5"/>
          <w:sz w:val="32"/>
          <w:szCs w:val="32"/>
          <w:lang w:eastAsia="zh-CN"/>
        </w:rPr>
        <w:t>1</w:t>
      </w:r>
      <w:r>
        <w:rPr>
          <w:rFonts w:ascii="仿宋_GB2312" w:hAnsi="仿宋_GB2312" w:eastAsia="仿宋_GB2312" w:cs="仿宋_GB2312"/>
          <w:color w:val="auto"/>
          <w:spacing w:val="5"/>
          <w:sz w:val="32"/>
          <w:szCs w:val="32"/>
          <w:lang w:val="en-US" w:eastAsia="zh-CN"/>
        </w:rPr>
        <w:t>小时仍无法解除故障的，</w:t>
      </w:r>
      <w:r>
        <w:rPr>
          <w:rFonts w:hint="default" w:ascii="仿宋_GB2312" w:hAnsi="仿宋_GB2312" w:eastAsia="仿宋_GB2312" w:cs="仿宋_GB2312"/>
          <w:color w:val="auto"/>
          <w:spacing w:val="5"/>
          <w:sz w:val="32"/>
          <w:szCs w:val="32"/>
          <w:lang w:val="en-US" w:eastAsia="zh-CN"/>
        </w:rPr>
        <w:t>由招标人确定是否进行评标。如延期评标，招标人应当配合主场、副场做好招投标资料的封存和保密工作，另行组建评标委员会进行评标。</w:t>
      </w:r>
    </w:p>
    <w:p>
      <w:pPr>
        <w:spacing w:line="560" w:lineRule="exact"/>
        <w:ind w:firstLine="660" w:firstLineChars="200"/>
        <w:rPr>
          <w:rFonts w:ascii="Times New Roman" w:hAnsi="Times New Roman" w:eastAsia="仿宋_GB2312" w:cs="Times New Roman"/>
          <w:color w:val="auto"/>
          <w:spacing w:val="5"/>
          <w:sz w:val="32"/>
          <w:szCs w:val="32"/>
        </w:rPr>
      </w:pPr>
      <w:r>
        <w:rPr>
          <w:rFonts w:hint="eastAsia" w:ascii="黑体" w:hAnsi="黑体" w:eastAsia="黑体" w:cs="黑体"/>
          <w:color w:val="auto"/>
          <w:spacing w:val="5"/>
          <w:sz w:val="32"/>
          <w:szCs w:val="32"/>
        </w:rPr>
        <w:t>第</w:t>
      </w:r>
      <w:r>
        <w:rPr>
          <w:rFonts w:ascii="黑体" w:hAnsi="黑体" w:eastAsia="黑体" w:cs="黑体"/>
          <w:color w:val="auto"/>
          <w:spacing w:val="5"/>
          <w:sz w:val="32"/>
          <w:szCs w:val="32"/>
        </w:rPr>
        <w:t>二</w:t>
      </w:r>
      <w:r>
        <w:rPr>
          <w:rFonts w:hint="eastAsia" w:ascii="黑体" w:hAnsi="黑体" w:eastAsia="黑体" w:cs="黑体"/>
          <w:color w:val="auto"/>
          <w:spacing w:val="5"/>
          <w:sz w:val="32"/>
          <w:szCs w:val="32"/>
        </w:rPr>
        <w:t>十</w:t>
      </w:r>
      <w:r>
        <w:rPr>
          <w:rFonts w:ascii="黑体" w:hAnsi="黑体" w:eastAsia="黑体" w:cs="黑体"/>
          <w:color w:val="auto"/>
          <w:spacing w:val="5"/>
          <w:sz w:val="32"/>
          <w:szCs w:val="32"/>
        </w:rPr>
        <w:t>八</w:t>
      </w:r>
      <w:r>
        <w:rPr>
          <w:rFonts w:hint="eastAsia" w:ascii="黑体" w:hAnsi="黑体" w:eastAsia="黑体" w:cs="黑体"/>
          <w:color w:val="auto"/>
          <w:spacing w:val="5"/>
          <w:sz w:val="32"/>
          <w:szCs w:val="32"/>
        </w:rPr>
        <w:t>条</w:t>
      </w:r>
      <w:r>
        <w:rPr>
          <w:rFonts w:ascii="Times New Roman" w:hAnsi="Times New Roman" w:eastAsia="仿宋_GB2312" w:cs="Times New Roman"/>
          <w:color w:val="auto"/>
          <w:spacing w:val="5"/>
          <w:sz w:val="32"/>
          <w:szCs w:val="32"/>
        </w:rPr>
        <w:t xml:space="preserve">  </w:t>
      </w:r>
      <w:r>
        <w:rPr>
          <w:rFonts w:ascii="Times New Roman" w:hAnsi="Times New Roman" w:eastAsia="仿宋_GB2312" w:cs="Times New Roman"/>
          <w:color w:val="auto"/>
          <w:spacing w:val="5"/>
          <w:sz w:val="32"/>
          <w:szCs w:val="32"/>
          <w:lang w:val="en-US" w:eastAsia="zh-CN"/>
        </w:rPr>
        <w:t>在评标过程中，因主场或副场网络故障、电子设备或者评标系统故障，以及其他原因导致无法继续进行评标时，</w:t>
      </w:r>
      <w:r>
        <w:rPr>
          <w:rFonts w:ascii="Times New Roman" w:hAnsi="Times New Roman" w:eastAsia="仿宋_GB2312" w:cs="Times New Roman"/>
          <w:color w:val="auto"/>
          <w:spacing w:val="5"/>
          <w:sz w:val="32"/>
          <w:szCs w:val="32"/>
          <w:lang w:eastAsia="zh-CN"/>
        </w:rPr>
        <w:t>能够</w:t>
      </w:r>
      <w:r>
        <w:rPr>
          <w:rFonts w:ascii="Times New Roman" w:hAnsi="Times New Roman" w:eastAsia="仿宋_GB2312" w:cs="Times New Roman"/>
          <w:color w:val="auto"/>
          <w:spacing w:val="5"/>
          <w:sz w:val="32"/>
          <w:szCs w:val="32"/>
          <w:lang w:val="en-US" w:eastAsia="zh-CN"/>
        </w:rPr>
        <w:t>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pPr>
        <w:spacing w:line="560" w:lineRule="exact"/>
        <w:ind w:firstLine="640" w:firstLineChars="200"/>
        <w:rPr>
          <w:rFonts w:ascii="黑体" w:hAnsi="黑体" w:eastAsia="黑体" w:cs="宋体"/>
          <w:sz w:val="32"/>
          <w:szCs w:val="32"/>
        </w:rPr>
      </w:pPr>
      <w:r>
        <w:rPr>
          <w:rFonts w:ascii="黑体" w:hAnsi="黑体" w:eastAsia="黑体" w:cs="宋体"/>
          <w:sz w:val="32"/>
          <w:szCs w:val="32"/>
        </w:rPr>
        <w:t xml:space="preserve">  </w:t>
      </w:r>
    </w:p>
    <w:p>
      <w:pPr>
        <w:spacing w:line="560" w:lineRule="exact"/>
        <w:ind w:firstLine="640" w:firstLineChars="200"/>
        <w:jc w:val="center"/>
        <w:rPr>
          <w:rFonts w:ascii="黑体" w:hAnsi="黑体" w:eastAsia="黑体" w:cs="宋体"/>
          <w:kern w:val="0"/>
          <w:sz w:val="32"/>
          <w:szCs w:val="32"/>
        </w:rPr>
      </w:pPr>
      <w:r>
        <w:rPr>
          <w:rFonts w:hint="eastAsia" w:ascii="黑体" w:hAnsi="黑体" w:eastAsia="黑体" w:cs="宋体"/>
          <w:sz w:val="32"/>
          <w:szCs w:val="32"/>
        </w:rPr>
        <w:t>第</w:t>
      </w:r>
      <w:r>
        <w:rPr>
          <w:rFonts w:ascii="黑体" w:hAnsi="黑体" w:eastAsia="黑体" w:cs="宋体"/>
          <w:sz w:val="32"/>
          <w:szCs w:val="32"/>
        </w:rPr>
        <w:t>六</w:t>
      </w:r>
      <w:r>
        <w:rPr>
          <w:rFonts w:hint="eastAsia" w:ascii="黑体" w:hAnsi="黑体" w:eastAsia="黑体" w:cs="宋体"/>
          <w:sz w:val="32"/>
          <w:szCs w:val="32"/>
        </w:rPr>
        <w:t>章</w:t>
      </w:r>
      <w:r>
        <w:rPr>
          <w:rFonts w:ascii="黑体" w:hAnsi="黑体" w:eastAsia="黑体" w:cs="宋体"/>
          <w:sz w:val="32"/>
          <w:szCs w:val="32"/>
        </w:rPr>
        <w:t xml:space="preserve">  </w:t>
      </w:r>
      <w:r>
        <w:rPr>
          <w:rFonts w:hint="eastAsia" w:ascii="黑体" w:hAnsi="黑体" w:eastAsia="黑体" w:cs="宋体"/>
          <w:sz w:val="32"/>
          <w:szCs w:val="32"/>
        </w:rPr>
        <w:t>附</w:t>
      </w:r>
      <w:r>
        <w:rPr>
          <w:rFonts w:ascii="黑体" w:hAnsi="黑体" w:eastAsia="黑体" w:cs="宋体"/>
          <w:sz w:val="32"/>
          <w:szCs w:val="32"/>
        </w:rPr>
        <w:t xml:space="preserve">  </w:t>
      </w:r>
      <w:r>
        <w:rPr>
          <w:rFonts w:hint="eastAsia" w:ascii="黑体" w:hAnsi="黑体" w:eastAsia="黑体" w:cs="宋体"/>
          <w:sz w:val="32"/>
          <w:szCs w:val="32"/>
        </w:rPr>
        <w:t>则</w:t>
      </w:r>
    </w:p>
    <w:p>
      <w:pPr>
        <w:spacing w:line="560" w:lineRule="exact"/>
        <w:ind w:firstLine="640" w:firstLineChars="200"/>
        <w:rPr>
          <w:rFonts w:ascii="仿宋" w:hAnsi="仿宋" w:eastAsia="仿宋"/>
          <w:sz w:val="32"/>
          <w:szCs w:val="32"/>
        </w:rPr>
      </w:pPr>
      <w:r>
        <w:rPr>
          <w:rFonts w:hint="eastAsia" w:ascii="黑体" w:hAnsi="黑体" w:eastAsia="黑体" w:cs="黑体"/>
          <w:sz w:val="32"/>
          <w:szCs w:val="32"/>
        </w:rPr>
        <w:t>第</w:t>
      </w:r>
      <w:r>
        <w:rPr>
          <w:rFonts w:ascii="黑体" w:hAnsi="黑体" w:eastAsia="黑体" w:cs="黑体"/>
          <w:sz w:val="32"/>
          <w:szCs w:val="32"/>
        </w:rPr>
        <w:t>二</w:t>
      </w:r>
      <w:r>
        <w:rPr>
          <w:rFonts w:hint="eastAsia" w:ascii="黑体" w:hAnsi="黑体" w:eastAsia="黑体" w:cs="黑体"/>
          <w:sz w:val="32"/>
          <w:szCs w:val="32"/>
        </w:rPr>
        <w:t>十</w:t>
      </w:r>
      <w:r>
        <w:rPr>
          <w:rFonts w:ascii="黑体" w:hAnsi="黑体" w:eastAsia="黑体" w:cs="黑体"/>
          <w:sz w:val="32"/>
          <w:szCs w:val="32"/>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本办法自</w:t>
      </w:r>
      <w:r>
        <w:rPr>
          <w:rFonts w:hint="default" w:ascii="仿宋_GB2312" w:hAnsi="仿宋_GB2312" w:eastAsia="仿宋_GB2312" w:cs="仿宋_GB2312"/>
          <w:sz w:val="32"/>
          <w:szCs w:val="32"/>
        </w:rPr>
        <w:t>2023年12月1</w:t>
      </w:r>
      <w:r>
        <w:rPr>
          <w:rFonts w:hint="eastAsia" w:ascii="仿宋_GB2312" w:hAnsi="仿宋_GB2312" w:eastAsia="仿宋_GB2312" w:cs="仿宋_GB2312"/>
          <w:sz w:val="32"/>
          <w:szCs w:val="32"/>
        </w:rPr>
        <w:t>日起施行，有效期</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年。《河北省公共资源交易平台远程异地评标管理暂行办法》（冀政务办〔2020〕19号）同时废止。</w:t>
      </w:r>
    </w:p>
    <w:p>
      <w:pPr>
        <w:bidi w:val="0"/>
        <w:rPr>
          <w:lang w:val="en-US" w:eastAsia="zh-CN"/>
        </w:rPr>
      </w:pPr>
    </w:p>
    <w:p>
      <w:pPr>
        <w:bidi w:val="0"/>
        <w:rPr>
          <w:lang w:val="en-US" w:eastAsia="zh-CN"/>
        </w:rPr>
      </w:pPr>
    </w:p>
    <w:p>
      <w:pPr>
        <w:bidi w:val="0"/>
        <w:rPr>
          <w:lang w:val="en-US" w:eastAsia="zh-CN"/>
        </w:rPr>
      </w:pPr>
    </w:p>
    <w:p>
      <w:pPr>
        <w:bidi w:val="0"/>
        <w:rPr>
          <w:lang w:val="en-US" w:eastAsia="zh-CN"/>
        </w:rPr>
      </w:pPr>
      <w:bookmarkStart w:id="0" w:name="_GoBack"/>
      <w:bookmarkEnd w:id="0"/>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spacing w:line="560" w:lineRule="exact"/>
        <w:rPr>
          <w:rFonts w:ascii="仿宋_GB2312" w:eastAsia="仿宋_GB2312"/>
          <w:sz w:val="32"/>
          <w:szCs w:val="32"/>
        </w:rPr>
      </w:pPr>
      <w:r>
        <w:rPr>
          <w:rFonts w:hint="eastAsia"/>
        </w:rPr>
        <w:t xml:space="preserve"> </w:t>
      </w:r>
      <w:r>
        <w:rPr>
          <w:rFonts w:ascii="Calibri" w:hAnsi="Calibri" w:eastAsia="宋体" w:cs="Aria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469900</wp:posOffset>
                </wp:positionV>
                <wp:extent cx="5600700" cy="635"/>
                <wp:effectExtent l="0" t="0" r="0" b="0"/>
                <wp:wrapNone/>
                <wp:docPr id="2"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pt;margin-top:37pt;height:0.05pt;width:441pt;z-index:251663360;mso-width-relative:page;mso-height-relative:page;" filled="f" stroked="t" coordsize="21600,21600" o:gfxdata="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QkEB&#10;M9MAAAAGAQAADwAAAAAAAAABACAAAAA4AAAAZHJzL2Rvd25yZXYueG1sUEsBAhQAFAAAAAgAh07i&#10;QAh8LXbYAQAAlgMAAA4AAAAAAAAAAQAgAAAAOAEAAGRycy9lMm9Eb2MueG1sUEsFBgAAAAAGAAYA&#10;WQEAAIIFAAAAAA==&#10;">
                <v:fill on="f" focussize="0,0"/>
                <v:stroke color="#000000" joinstyle="round"/>
                <v:imagedata o:title=""/>
                <o:lock v:ext="edit" aspectratio="f"/>
              </v:line>
            </w:pict>
          </mc:Fallback>
        </mc:AlternateContent>
      </w:r>
      <w:r>
        <w:rPr>
          <w:rFonts w:ascii="Calibri" w:hAnsi="Calibri" w:eastAsia="宋体" w:cs="Aria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25400</wp:posOffset>
                </wp:positionV>
                <wp:extent cx="5600700" cy="635"/>
                <wp:effectExtent l="0" t="0" r="0" b="0"/>
                <wp:wrapNone/>
                <wp:docPr id="3" name="直接连接符 5"/>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5" o:spid="_x0000_s1026" o:spt="20" style="position:absolute;left:0pt;margin-left:0pt;margin-top:2pt;height:0.05pt;width:441pt;z-index:251664384;mso-width-relative:page;mso-height-relative:page;" filled="f" stroked="t" coordsize="21600,21600" o:gfxdata="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3&#10;6GQU0gAAAAQBAAAPAAAAAAAAAAEAIAAAADgAAABkcnMvZG93bnJldi54bWxQSwECFAAUAAAACACH&#10;TuJAGRdJG9sBAACWAwAADgAAAAAAAAABACAAAAA3AQAAZHJzL2Uyb0RvYy54bWxQSwUGAAAAAAYA&#10;BgBZAQAAhAUAAAAA&#10;">
                <v:fill on="f" focussize="0,0"/>
                <v:stroke color="#000000" joinstyle="round"/>
                <v:imagedata o:title=""/>
                <o:lock v:ext="edit" aspectratio="f"/>
              </v:line>
            </w:pict>
          </mc:Fallback>
        </mc:AlternateContent>
      </w:r>
      <w:r>
        <w:rPr>
          <w:rFonts w:ascii="Times New Roman" w:hAnsi="Times New Roman" w:eastAsia="仿宋_GB2312" w:cs="Arial"/>
          <w:sz w:val="32"/>
          <w:szCs w:val="32"/>
        </w:rPr>
        <w:t xml:space="preserve"> </w:t>
      </w:r>
      <w:r>
        <w:rPr>
          <w:rFonts w:hint="eastAsia" w:ascii="Times New Roman" w:hAnsi="Times New Roman" w:eastAsia="仿宋_GB2312" w:cs="Arial"/>
          <w:sz w:val="28"/>
          <w:szCs w:val="28"/>
        </w:rPr>
        <w:t>河北省政务服务管理办公室</w:t>
      </w:r>
      <w:r>
        <w:rPr>
          <w:rFonts w:hint="eastAsia" w:ascii="Times New Roman" w:hAnsi="Times New Roman" w:eastAsia="仿宋_GB2312" w:cs="Arial"/>
          <w:sz w:val="28"/>
          <w:szCs w:val="28"/>
          <w:lang w:val="en-US" w:eastAsia="zh-CN"/>
        </w:rPr>
        <w:t xml:space="preserve">综合处  </w:t>
      </w:r>
      <w:r>
        <w:rPr>
          <w:rFonts w:hint="eastAsia" w:ascii="Times New Roman" w:hAnsi="Times New Roman" w:eastAsia="仿宋_GB2312" w:cs="Arial"/>
          <w:sz w:val="28"/>
          <w:szCs w:val="28"/>
        </w:rPr>
        <w:t xml:space="preserve">    </w:t>
      </w:r>
      <w:r>
        <w:rPr>
          <w:rFonts w:hint="default" w:ascii="Times New Roman" w:hAnsi="Times New Roman" w:eastAsia="仿宋_GB2312" w:cs="Arial"/>
          <w:sz w:val="28"/>
          <w:szCs w:val="28"/>
        </w:rPr>
        <w:t xml:space="preserve"> </w:t>
      </w:r>
      <w:r>
        <w:rPr>
          <w:rFonts w:ascii="Times New Roman" w:hAnsi="Times New Roman" w:eastAsia="仿宋_GB2312" w:cs="Arial"/>
          <w:sz w:val="28"/>
          <w:szCs w:val="28"/>
        </w:rPr>
        <w:t xml:space="preserve"> </w:t>
      </w:r>
      <w:r>
        <w:rPr>
          <w:rFonts w:hint="eastAsia" w:ascii="仿宋_GB2312" w:hAnsi="仿宋_GB2312" w:eastAsia="仿宋_GB2312" w:cs="仿宋_GB2312"/>
          <w:sz w:val="28"/>
          <w:szCs w:val="28"/>
        </w:rPr>
        <w:t>2023年</w:t>
      </w:r>
      <w:r>
        <w:rPr>
          <w:rFonts w:hint="default" w:ascii="仿宋_GB2312" w:hAnsi="仿宋_GB2312" w:eastAsia="仿宋_GB2312" w:cs="仿宋_GB2312"/>
          <w:sz w:val="28"/>
          <w:szCs w:val="28"/>
        </w:rPr>
        <w:t>10</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rPr>
        <w:t>30</w:t>
      </w:r>
      <w:r>
        <w:rPr>
          <w:rFonts w:hint="eastAsia" w:ascii="仿宋_GB2312" w:hAnsi="仿宋_GB2312" w:eastAsia="仿宋_GB2312" w:cs="仿宋_GB2312"/>
          <w:sz w:val="28"/>
          <w:szCs w:val="28"/>
        </w:rPr>
        <w:t>日印发</w:t>
      </w:r>
    </w:p>
    <w:p>
      <w:pPr>
        <w:bidi w:val="0"/>
        <w:ind w:firstLine="452" w:firstLineChars="0"/>
        <w:jc w:val="left"/>
        <w:rPr>
          <w:lang w:val="en-US" w:eastAsia="zh-CN"/>
        </w:rPr>
      </w:pPr>
    </w:p>
    <w:sectPr>
      <w:footerReference r:id="rId3" w:type="default"/>
      <w:pgSz w:w="11906" w:h="16838"/>
      <w:pgMar w:top="1984" w:right="1531"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大标宋_GBK">
    <w:panose1 w:val="02000000000000000000"/>
    <w:charset w:val="86"/>
    <w:family w:val="script"/>
    <w:pitch w:val="default"/>
    <w:sig w:usb0="A00002BF" w:usb1="08CF7CFA" w:usb2="00000000" w:usb3="00000000" w:csb0="00040001" w:csb1="00000000"/>
  </w:font>
  <w:font w:name="华文中宋">
    <w:altName w:val="方正书宋_GBK"/>
    <w:panose1 w:val="02010600040101010101"/>
    <w:charset w:val="86"/>
    <w:family w:val="auto"/>
    <w:pitch w:val="default"/>
    <w:sig w:usb0="00000000" w:usb1="00000000" w:usb2="00000010" w:usb3="00000000" w:csb0="0004009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9710744"/>
                          </w:sdtPr>
                          <w:sdt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sdt>
                    <w:sdtPr>
                      <w:id w:val="-309710744"/>
                    </w:sdtPr>
                    <w:sdt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FE9F4"/>
    <w:multiLevelType w:val="singleLevel"/>
    <w:tmpl w:val="E3FFE9F4"/>
    <w:lvl w:ilvl="0" w:tentative="0">
      <w:start w:val="5"/>
      <w:numFmt w:val="chineseCounting"/>
      <w:suff w:val="space"/>
      <w:lvlText w:val="第%1章"/>
      <w:lvlJc w:val="left"/>
      <w:rPr>
        <w:rFonts w:hint="eastAsia"/>
      </w:rPr>
    </w:lvl>
  </w:abstractNum>
  <w:abstractNum w:abstractNumId="1">
    <w:nsid w:val="137E0375"/>
    <w:multiLevelType w:val="multilevel"/>
    <w:tmpl w:val="137E0375"/>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2"/>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98"/>
    <w:rsid w:val="00001749"/>
    <w:rsid w:val="00004601"/>
    <w:rsid w:val="000047FA"/>
    <w:rsid w:val="0000760E"/>
    <w:rsid w:val="00031C09"/>
    <w:rsid w:val="0003398A"/>
    <w:rsid w:val="000403E2"/>
    <w:rsid w:val="00040730"/>
    <w:rsid w:val="00051B2A"/>
    <w:rsid w:val="00052382"/>
    <w:rsid w:val="000535FF"/>
    <w:rsid w:val="00054631"/>
    <w:rsid w:val="00055A9F"/>
    <w:rsid w:val="00073634"/>
    <w:rsid w:val="00074EE2"/>
    <w:rsid w:val="00081383"/>
    <w:rsid w:val="00086D6F"/>
    <w:rsid w:val="00090AE7"/>
    <w:rsid w:val="00091509"/>
    <w:rsid w:val="0009250B"/>
    <w:rsid w:val="000927B5"/>
    <w:rsid w:val="00093FEF"/>
    <w:rsid w:val="000946EB"/>
    <w:rsid w:val="00096970"/>
    <w:rsid w:val="000A1BA9"/>
    <w:rsid w:val="000A5148"/>
    <w:rsid w:val="000B0E0A"/>
    <w:rsid w:val="000B5E35"/>
    <w:rsid w:val="000C515C"/>
    <w:rsid w:val="000C529A"/>
    <w:rsid w:val="000D04BE"/>
    <w:rsid w:val="000D2990"/>
    <w:rsid w:val="000D3423"/>
    <w:rsid w:val="000E0002"/>
    <w:rsid w:val="000E061C"/>
    <w:rsid w:val="000E26B6"/>
    <w:rsid w:val="000E4925"/>
    <w:rsid w:val="000F2525"/>
    <w:rsid w:val="000F3351"/>
    <w:rsid w:val="000F4B0F"/>
    <w:rsid w:val="000F6B54"/>
    <w:rsid w:val="000F6EA4"/>
    <w:rsid w:val="00103343"/>
    <w:rsid w:val="0012461A"/>
    <w:rsid w:val="00133BBE"/>
    <w:rsid w:val="00134845"/>
    <w:rsid w:val="00141B02"/>
    <w:rsid w:val="00154034"/>
    <w:rsid w:val="00154482"/>
    <w:rsid w:val="00165E49"/>
    <w:rsid w:val="00177017"/>
    <w:rsid w:val="0018362B"/>
    <w:rsid w:val="001911F0"/>
    <w:rsid w:val="0019552C"/>
    <w:rsid w:val="001A2D86"/>
    <w:rsid w:val="001A3A23"/>
    <w:rsid w:val="001B1BCA"/>
    <w:rsid w:val="001B4E80"/>
    <w:rsid w:val="001C3CDC"/>
    <w:rsid w:val="001D65DB"/>
    <w:rsid w:val="001E2852"/>
    <w:rsid w:val="001E356D"/>
    <w:rsid w:val="001E5E76"/>
    <w:rsid w:val="001F1703"/>
    <w:rsid w:val="001F3C05"/>
    <w:rsid w:val="001F416E"/>
    <w:rsid w:val="001F5835"/>
    <w:rsid w:val="0020245D"/>
    <w:rsid w:val="002059FF"/>
    <w:rsid w:val="002136FB"/>
    <w:rsid w:val="00214B90"/>
    <w:rsid w:val="00224324"/>
    <w:rsid w:val="00234930"/>
    <w:rsid w:val="00241DF8"/>
    <w:rsid w:val="0025176D"/>
    <w:rsid w:val="00256DBD"/>
    <w:rsid w:val="00260008"/>
    <w:rsid w:val="00260C16"/>
    <w:rsid w:val="00261CCA"/>
    <w:rsid w:val="00265F65"/>
    <w:rsid w:val="0027102E"/>
    <w:rsid w:val="00272E06"/>
    <w:rsid w:val="00276542"/>
    <w:rsid w:val="00281BEB"/>
    <w:rsid w:val="00287EAB"/>
    <w:rsid w:val="002979B0"/>
    <w:rsid w:val="002B3EA2"/>
    <w:rsid w:val="002B72A7"/>
    <w:rsid w:val="002C0D61"/>
    <w:rsid w:val="002C6B3C"/>
    <w:rsid w:val="002E2ED5"/>
    <w:rsid w:val="002E53B3"/>
    <w:rsid w:val="002E7F68"/>
    <w:rsid w:val="002F0DDD"/>
    <w:rsid w:val="002F1A32"/>
    <w:rsid w:val="002F2D47"/>
    <w:rsid w:val="002F5131"/>
    <w:rsid w:val="003009FD"/>
    <w:rsid w:val="00304B66"/>
    <w:rsid w:val="00317A60"/>
    <w:rsid w:val="003255B6"/>
    <w:rsid w:val="00325C0E"/>
    <w:rsid w:val="00327A6D"/>
    <w:rsid w:val="003439AE"/>
    <w:rsid w:val="00375A88"/>
    <w:rsid w:val="00393671"/>
    <w:rsid w:val="003950AC"/>
    <w:rsid w:val="00395613"/>
    <w:rsid w:val="00395DAE"/>
    <w:rsid w:val="003B3166"/>
    <w:rsid w:val="003B472E"/>
    <w:rsid w:val="003C0D4C"/>
    <w:rsid w:val="003C2053"/>
    <w:rsid w:val="003C31EB"/>
    <w:rsid w:val="003C73F1"/>
    <w:rsid w:val="003D0D88"/>
    <w:rsid w:val="003D485C"/>
    <w:rsid w:val="003E72AC"/>
    <w:rsid w:val="003F1063"/>
    <w:rsid w:val="003F395C"/>
    <w:rsid w:val="00401ECD"/>
    <w:rsid w:val="004178E3"/>
    <w:rsid w:val="00435944"/>
    <w:rsid w:val="00437E4F"/>
    <w:rsid w:val="00455726"/>
    <w:rsid w:val="00455ADA"/>
    <w:rsid w:val="00455BBB"/>
    <w:rsid w:val="0045676F"/>
    <w:rsid w:val="004608E6"/>
    <w:rsid w:val="004623AF"/>
    <w:rsid w:val="00462CCF"/>
    <w:rsid w:val="0046342D"/>
    <w:rsid w:val="00464A21"/>
    <w:rsid w:val="004765F8"/>
    <w:rsid w:val="00477758"/>
    <w:rsid w:val="004816B7"/>
    <w:rsid w:val="0048534A"/>
    <w:rsid w:val="004945D2"/>
    <w:rsid w:val="004A3DCC"/>
    <w:rsid w:val="004B3A73"/>
    <w:rsid w:val="004B4505"/>
    <w:rsid w:val="004B4C0A"/>
    <w:rsid w:val="004B6CFD"/>
    <w:rsid w:val="004B6E5F"/>
    <w:rsid w:val="004B74F9"/>
    <w:rsid w:val="004E07AC"/>
    <w:rsid w:val="004E0B5A"/>
    <w:rsid w:val="004E16E7"/>
    <w:rsid w:val="004F2165"/>
    <w:rsid w:val="004F5316"/>
    <w:rsid w:val="005015DB"/>
    <w:rsid w:val="0050253D"/>
    <w:rsid w:val="0050342A"/>
    <w:rsid w:val="0051228E"/>
    <w:rsid w:val="0051248F"/>
    <w:rsid w:val="00513013"/>
    <w:rsid w:val="00513C2C"/>
    <w:rsid w:val="00514F53"/>
    <w:rsid w:val="005304A9"/>
    <w:rsid w:val="00531BFC"/>
    <w:rsid w:val="005473B2"/>
    <w:rsid w:val="00551F7D"/>
    <w:rsid w:val="005539D6"/>
    <w:rsid w:val="00553E72"/>
    <w:rsid w:val="005866E0"/>
    <w:rsid w:val="00592A11"/>
    <w:rsid w:val="005A13D3"/>
    <w:rsid w:val="005B2A69"/>
    <w:rsid w:val="005B5A00"/>
    <w:rsid w:val="005B72F0"/>
    <w:rsid w:val="005E2274"/>
    <w:rsid w:val="005F13C6"/>
    <w:rsid w:val="00600BFC"/>
    <w:rsid w:val="0061214C"/>
    <w:rsid w:val="00612EA2"/>
    <w:rsid w:val="0061473C"/>
    <w:rsid w:val="00627400"/>
    <w:rsid w:val="006305D8"/>
    <w:rsid w:val="0063074B"/>
    <w:rsid w:val="00643AC7"/>
    <w:rsid w:val="00646C75"/>
    <w:rsid w:val="00655A41"/>
    <w:rsid w:val="006727DA"/>
    <w:rsid w:val="00673326"/>
    <w:rsid w:val="006733CC"/>
    <w:rsid w:val="00673775"/>
    <w:rsid w:val="00675BA7"/>
    <w:rsid w:val="006769D6"/>
    <w:rsid w:val="006913FC"/>
    <w:rsid w:val="006931BE"/>
    <w:rsid w:val="006A2170"/>
    <w:rsid w:val="006A63FD"/>
    <w:rsid w:val="006B0297"/>
    <w:rsid w:val="006B6CD5"/>
    <w:rsid w:val="006C0935"/>
    <w:rsid w:val="006C5EDE"/>
    <w:rsid w:val="006E6D1D"/>
    <w:rsid w:val="006E719C"/>
    <w:rsid w:val="006E7ABC"/>
    <w:rsid w:val="006E7ECB"/>
    <w:rsid w:val="006F176E"/>
    <w:rsid w:val="006F5621"/>
    <w:rsid w:val="006F695B"/>
    <w:rsid w:val="007172F8"/>
    <w:rsid w:val="00723841"/>
    <w:rsid w:val="00733955"/>
    <w:rsid w:val="0073550A"/>
    <w:rsid w:val="00740F50"/>
    <w:rsid w:val="00743568"/>
    <w:rsid w:val="007460A1"/>
    <w:rsid w:val="0075078F"/>
    <w:rsid w:val="00755D95"/>
    <w:rsid w:val="00761802"/>
    <w:rsid w:val="00765DAB"/>
    <w:rsid w:val="00766D9F"/>
    <w:rsid w:val="00775BDD"/>
    <w:rsid w:val="00780289"/>
    <w:rsid w:val="00794F4E"/>
    <w:rsid w:val="007A5D23"/>
    <w:rsid w:val="007A7B13"/>
    <w:rsid w:val="007B3ACC"/>
    <w:rsid w:val="007B3CB4"/>
    <w:rsid w:val="007B6DE1"/>
    <w:rsid w:val="007C7F1B"/>
    <w:rsid w:val="007D0743"/>
    <w:rsid w:val="007D5612"/>
    <w:rsid w:val="007E0FB4"/>
    <w:rsid w:val="007E15EE"/>
    <w:rsid w:val="007E3105"/>
    <w:rsid w:val="007F16F2"/>
    <w:rsid w:val="007F361A"/>
    <w:rsid w:val="0080114D"/>
    <w:rsid w:val="00807F28"/>
    <w:rsid w:val="00813DAB"/>
    <w:rsid w:val="008169C2"/>
    <w:rsid w:val="00842247"/>
    <w:rsid w:val="00855B65"/>
    <w:rsid w:val="008600F2"/>
    <w:rsid w:val="00861B48"/>
    <w:rsid w:val="00861BA1"/>
    <w:rsid w:val="00862081"/>
    <w:rsid w:val="00865D6F"/>
    <w:rsid w:val="008730D9"/>
    <w:rsid w:val="0088332D"/>
    <w:rsid w:val="00892F60"/>
    <w:rsid w:val="00897319"/>
    <w:rsid w:val="008A528B"/>
    <w:rsid w:val="008A57AD"/>
    <w:rsid w:val="008B3E62"/>
    <w:rsid w:val="008D3131"/>
    <w:rsid w:val="008E36AF"/>
    <w:rsid w:val="008E4BEB"/>
    <w:rsid w:val="008F096E"/>
    <w:rsid w:val="008F1A41"/>
    <w:rsid w:val="008F2222"/>
    <w:rsid w:val="008F2829"/>
    <w:rsid w:val="00901F33"/>
    <w:rsid w:val="00902B93"/>
    <w:rsid w:val="00903FBF"/>
    <w:rsid w:val="009109DC"/>
    <w:rsid w:val="0092537B"/>
    <w:rsid w:val="00930245"/>
    <w:rsid w:val="0093336F"/>
    <w:rsid w:val="00935B3E"/>
    <w:rsid w:val="00942D8A"/>
    <w:rsid w:val="009437F5"/>
    <w:rsid w:val="0094616F"/>
    <w:rsid w:val="00947509"/>
    <w:rsid w:val="00953309"/>
    <w:rsid w:val="00954840"/>
    <w:rsid w:val="00961444"/>
    <w:rsid w:val="0096310E"/>
    <w:rsid w:val="009649D1"/>
    <w:rsid w:val="0097182C"/>
    <w:rsid w:val="00980443"/>
    <w:rsid w:val="009826E0"/>
    <w:rsid w:val="00985B95"/>
    <w:rsid w:val="00987581"/>
    <w:rsid w:val="009960A9"/>
    <w:rsid w:val="009A13CB"/>
    <w:rsid w:val="009A1E97"/>
    <w:rsid w:val="009C1C04"/>
    <w:rsid w:val="009C3D2F"/>
    <w:rsid w:val="009C739C"/>
    <w:rsid w:val="009D46AD"/>
    <w:rsid w:val="009D4C21"/>
    <w:rsid w:val="009E0655"/>
    <w:rsid w:val="009E091F"/>
    <w:rsid w:val="009F2B65"/>
    <w:rsid w:val="009F7AFF"/>
    <w:rsid w:val="00A00CC1"/>
    <w:rsid w:val="00A043E4"/>
    <w:rsid w:val="00A1080F"/>
    <w:rsid w:val="00A21C05"/>
    <w:rsid w:val="00A261AA"/>
    <w:rsid w:val="00A30BC3"/>
    <w:rsid w:val="00A50A8B"/>
    <w:rsid w:val="00A649B2"/>
    <w:rsid w:val="00A67A09"/>
    <w:rsid w:val="00A70546"/>
    <w:rsid w:val="00A714DE"/>
    <w:rsid w:val="00A95835"/>
    <w:rsid w:val="00A96327"/>
    <w:rsid w:val="00A963AC"/>
    <w:rsid w:val="00AA050D"/>
    <w:rsid w:val="00AA0539"/>
    <w:rsid w:val="00AA2FCD"/>
    <w:rsid w:val="00AA7BB8"/>
    <w:rsid w:val="00AB6BA6"/>
    <w:rsid w:val="00AD7278"/>
    <w:rsid w:val="00AE3774"/>
    <w:rsid w:val="00AE3E62"/>
    <w:rsid w:val="00AF08F8"/>
    <w:rsid w:val="00AF576A"/>
    <w:rsid w:val="00B024B0"/>
    <w:rsid w:val="00B157F4"/>
    <w:rsid w:val="00B15B24"/>
    <w:rsid w:val="00B20347"/>
    <w:rsid w:val="00B21071"/>
    <w:rsid w:val="00B24DB5"/>
    <w:rsid w:val="00B25BD7"/>
    <w:rsid w:val="00B514EA"/>
    <w:rsid w:val="00B544C3"/>
    <w:rsid w:val="00B56D14"/>
    <w:rsid w:val="00B57E2F"/>
    <w:rsid w:val="00B72CAD"/>
    <w:rsid w:val="00B757A9"/>
    <w:rsid w:val="00B80B99"/>
    <w:rsid w:val="00B80DB2"/>
    <w:rsid w:val="00B9598A"/>
    <w:rsid w:val="00B96DB7"/>
    <w:rsid w:val="00BA0AFF"/>
    <w:rsid w:val="00BB00DF"/>
    <w:rsid w:val="00BB65FF"/>
    <w:rsid w:val="00BC27EA"/>
    <w:rsid w:val="00BC2835"/>
    <w:rsid w:val="00BC3501"/>
    <w:rsid w:val="00BD4015"/>
    <w:rsid w:val="00BD45F5"/>
    <w:rsid w:val="00BD4FB1"/>
    <w:rsid w:val="00BD7F8A"/>
    <w:rsid w:val="00BE51C7"/>
    <w:rsid w:val="00BF402E"/>
    <w:rsid w:val="00BF6762"/>
    <w:rsid w:val="00BF7D36"/>
    <w:rsid w:val="00C07151"/>
    <w:rsid w:val="00C1267D"/>
    <w:rsid w:val="00C345E7"/>
    <w:rsid w:val="00C43D82"/>
    <w:rsid w:val="00C6777C"/>
    <w:rsid w:val="00C71843"/>
    <w:rsid w:val="00C7345F"/>
    <w:rsid w:val="00C74AB0"/>
    <w:rsid w:val="00C75D86"/>
    <w:rsid w:val="00C77715"/>
    <w:rsid w:val="00C85BD9"/>
    <w:rsid w:val="00C94689"/>
    <w:rsid w:val="00CC6E18"/>
    <w:rsid w:val="00CD3386"/>
    <w:rsid w:val="00CD3F81"/>
    <w:rsid w:val="00CD5804"/>
    <w:rsid w:val="00CD711F"/>
    <w:rsid w:val="00CE0582"/>
    <w:rsid w:val="00CE411A"/>
    <w:rsid w:val="00CE73D5"/>
    <w:rsid w:val="00D10331"/>
    <w:rsid w:val="00D16FCD"/>
    <w:rsid w:val="00D2328D"/>
    <w:rsid w:val="00D234D5"/>
    <w:rsid w:val="00D259B5"/>
    <w:rsid w:val="00D3217D"/>
    <w:rsid w:val="00D32745"/>
    <w:rsid w:val="00D3379A"/>
    <w:rsid w:val="00D4268F"/>
    <w:rsid w:val="00D46C89"/>
    <w:rsid w:val="00D546B3"/>
    <w:rsid w:val="00D54C52"/>
    <w:rsid w:val="00D615DF"/>
    <w:rsid w:val="00D624EB"/>
    <w:rsid w:val="00D6462F"/>
    <w:rsid w:val="00D64963"/>
    <w:rsid w:val="00D76587"/>
    <w:rsid w:val="00D831E1"/>
    <w:rsid w:val="00D83D8C"/>
    <w:rsid w:val="00D95E07"/>
    <w:rsid w:val="00DA4C72"/>
    <w:rsid w:val="00DA5BC7"/>
    <w:rsid w:val="00DB0004"/>
    <w:rsid w:val="00DB041B"/>
    <w:rsid w:val="00DD1811"/>
    <w:rsid w:val="00DD43B0"/>
    <w:rsid w:val="00DD7791"/>
    <w:rsid w:val="00DE48B9"/>
    <w:rsid w:val="00DF63B2"/>
    <w:rsid w:val="00E00C4A"/>
    <w:rsid w:val="00E02311"/>
    <w:rsid w:val="00E023D6"/>
    <w:rsid w:val="00E027C7"/>
    <w:rsid w:val="00E048A7"/>
    <w:rsid w:val="00E071D7"/>
    <w:rsid w:val="00E12198"/>
    <w:rsid w:val="00E1405D"/>
    <w:rsid w:val="00E17D88"/>
    <w:rsid w:val="00E3253A"/>
    <w:rsid w:val="00E423AC"/>
    <w:rsid w:val="00E44F33"/>
    <w:rsid w:val="00E45008"/>
    <w:rsid w:val="00E5161F"/>
    <w:rsid w:val="00E56487"/>
    <w:rsid w:val="00E570D7"/>
    <w:rsid w:val="00E654C5"/>
    <w:rsid w:val="00E65B1D"/>
    <w:rsid w:val="00E74089"/>
    <w:rsid w:val="00E83CD5"/>
    <w:rsid w:val="00E847BE"/>
    <w:rsid w:val="00E85C8F"/>
    <w:rsid w:val="00E86D21"/>
    <w:rsid w:val="00E9184B"/>
    <w:rsid w:val="00E92605"/>
    <w:rsid w:val="00E95E49"/>
    <w:rsid w:val="00EB3490"/>
    <w:rsid w:val="00EC0B11"/>
    <w:rsid w:val="00EC74B2"/>
    <w:rsid w:val="00EC7A01"/>
    <w:rsid w:val="00ED156B"/>
    <w:rsid w:val="00ED2A23"/>
    <w:rsid w:val="00EE6BB5"/>
    <w:rsid w:val="00F10D3E"/>
    <w:rsid w:val="00F17542"/>
    <w:rsid w:val="00F25F78"/>
    <w:rsid w:val="00F46944"/>
    <w:rsid w:val="00F51B3E"/>
    <w:rsid w:val="00F525D3"/>
    <w:rsid w:val="00F571D4"/>
    <w:rsid w:val="00F578A1"/>
    <w:rsid w:val="00F63F77"/>
    <w:rsid w:val="00F71163"/>
    <w:rsid w:val="00F75E48"/>
    <w:rsid w:val="00F7773A"/>
    <w:rsid w:val="00F8469D"/>
    <w:rsid w:val="00F87AF9"/>
    <w:rsid w:val="00F91D12"/>
    <w:rsid w:val="00F9472E"/>
    <w:rsid w:val="00FA47B1"/>
    <w:rsid w:val="00FA5A79"/>
    <w:rsid w:val="00FA704D"/>
    <w:rsid w:val="00FB2C4B"/>
    <w:rsid w:val="00FC0E15"/>
    <w:rsid w:val="00FC20ED"/>
    <w:rsid w:val="00FC3E1A"/>
    <w:rsid w:val="00FC7598"/>
    <w:rsid w:val="00FE0B21"/>
    <w:rsid w:val="00FE0C9A"/>
    <w:rsid w:val="00FF1038"/>
    <w:rsid w:val="00FF7C3E"/>
    <w:rsid w:val="037030EA"/>
    <w:rsid w:val="079035E8"/>
    <w:rsid w:val="0B83C506"/>
    <w:rsid w:val="0F74733A"/>
    <w:rsid w:val="1C3C68C5"/>
    <w:rsid w:val="1D5E19E7"/>
    <w:rsid w:val="1F3C6FC0"/>
    <w:rsid w:val="1FE9EB6E"/>
    <w:rsid w:val="26167D7F"/>
    <w:rsid w:val="2CE40E29"/>
    <w:rsid w:val="33FF08F5"/>
    <w:rsid w:val="37F77404"/>
    <w:rsid w:val="3F4E3EB1"/>
    <w:rsid w:val="3F6F420C"/>
    <w:rsid w:val="3FDFFB6A"/>
    <w:rsid w:val="409C799C"/>
    <w:rsid w:val="4EEC40C2"/>
    <w:rsid w:val="573F9A31"/>
    <w:rsid w:val="5EF79209"/>
    <w:rsid w:val="67DD82E8"/>
    <w:rsid w:val="6BA7C138"/>
    <w:rsid w:val="6C3D0040"/>
    <w:rsid w:val="6D5A22E7"/>
    <w:rsid w:val="6E671468"/>
    <w:rsid w:val="6FBDDC5E"/>
    <w:rsid w:val="700B367F"/>
    <w:rsid w:val="73CF5CED"/>
    <w:rsid w:val="76AF021D"/>
    <w:rsid w:val="77CD6B78"/>
    <w:rsid w:val="77D6FAC5"/>
    <w:rsid w:val="7962625F"/>
    <w:rsid w:val="7B7FC689"/>
    <w:rsid w:val="7BEFB8D7"/>
    <w:rsid w:val="7BF6820C"/>
    <w:rsid w:val="7DEDD079"/>
    <w:rsid w:val="7DFADD1D"/>
    <w:rsid w:val="7EDFE38D"/>
    <w:rsid w:val="7EFE2152"/>
    <w:rsid w:val="7F7F951A"/>
    <w:rsid w:val="7FBE7574"/>
    <w:rsid w:val="7FBF18B2"/>
    <w:rsid w:val="7FE763AC"/>
    <w:rsid w:val="7FE88CEB"/>
    <w:rsid w:val="9CBD5D76"/>
    <w:rsid w:val="A78FE070"/>
    <w:rsid w:val="AF3FDE32"/>
    <w:rsid w:val="AFFE562F"/>
    <w:rsid w:val="B5F48A9F"/>
    <w:rsid w:val="BA9D8606"/>
    <w:rsid w:val="BE8C9FBA"/>
    <w:rsid w:val="BF77CAD5"/>
    <w:rsid w:val="BFEF9D59"/>
    <w:rsid w:val="CFED60B1"/>
    <w:rsid w:val="D3F58E7C"/>
    <w:rsid w:val="D7FFCA5A"/>
    <w:rsid w:val="DBF70FFC"/>
    <w:rsid w:val="DCDE4BB1"/>
    <w:rsid w:val="DDFFE4CB"/>
    <w:rsid w:val="DE4768B2"/>
    <w:rsid w:val="DF757A23"/>
    <w:rsid w:val="DFF70D11"/>
    <w:rsid w:val="DFFF4F87"/>
    <w:rsid w:val="DFFF7231"/>
    <w:rsid w:val="E7FE5694"/>
    <w:rsid w:val="EA932D1B"/>
    <w:rsid w:val="EA9F012D"/>
    <w:rsid w:val="EC771BF5"/>
    <w:rsid w:val="EFFF65EB"/>
    <w:rsid w:val="F3749B7E"/>
    <w:rsid w:val="F7548E3E"/>
    <w:rsid w:val="F7B7FA04"/>
    <w:rsid w:val="F7DB2BE5"/>
    <w:rsid w:val="F7E927B9"/>
    <w:rsid w:val="F7FEF7B0"/>
    <w:rsid w:val="FA69FE1F"/>
    <w:rsid w:val="FAC76F0C"/>
    <w:rsid w:val="FAF70509"/>
    <w:rsid w:val="FAFF1591"/>
    <w:rsid w:val="FB935CE9"/>
    <w:rsid w:val="FB9A057C"/>
    <w:rsid w:val="FBDA3E46"/>
    <w:rsid w:val="FBFBCCF0"/>
    <w:rsid w:val="FCFC7F89"/>
    <w:rsid w:val="FDFD314B"/>
    <w:rsid w:val="FEFF5C3F"/>
    <w:rsid w:val="FF7D0039"/>
    <w:rsid w:val="FFBFF05D"/>
    <w:rsid w:val="FFDFB477"/>
    <w:rsid w:val="FFFB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widowControl w:val="0"/>
      <w:numPr>
        <w:ilvl w:val="3"/>
        <w:numId w:val="1"/>
      </w:numPr>
      <w:spacing w:before="280" w:after="290" w:line="376" w:lineRule="auto"/>
      <w:jc w:val="both"/>
      <w:outlineLvl w:val="3"/>
    </w:pPr>
    <w:rPr>
      <w:rFonts w:ascii="Arial" w:hAnsi="Arial" w:eastAsia="黑体" w:cstheme="minorBidi"/>
      <w:b/>
      <w:bCs/>
      <w:kern w:val="2"/>
      <w:sz w:val="28"/>
      <w:szCs w:val="28"/>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批注框文本 Char"/>
    <w:basedOn w:val="10"/>
    <w:link w:val="4"/>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678</Words>
  <Characters>3870</Characters>
  <Lines>32</Lines>
  <Paragraphs>9</Paragraphs>
  <TotalTime>6</TotalTime>
  <ScaleCrop>false</ScaleCrop>
  <LinksUpToDate>false</LinksUpToDate>
  <CharactersWithSpaces>4539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2023-09-05T08:56:00Z</dcterms:created>
  <dc:creator>admin</dc:creator>
  <cp:lastModifiedBy>user</cp:lastModifiedBy>
  <cp:lastPrinted>2023-09-05T09:09:00Z</cp:lastPrinted>
  <dcterms:modified xsi:type="dcterms:W3CDTF">2023-11-01T15:07:13Z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