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highlight w:val="none"/>
        </w:rPr>
      </w:pPr>
      <w:bookmarkStart w:id="2" w:name="_GoBack"/>
      <w:r>
        <w:rPr>
          <w:rFonts w:hint="eastAsia" w:ascii="方正小标宋简体" w:hAnsi="Times New Roman" w:eastAsia="方正小标宋简体" w:cs="Times New Roman"/>
          <w:sz w:val="44"/>
          <w:szCs w:val="44"/>
          <w:highlight w:val="none"/>
        </w:rPr>
        <w:t>霸州市信访局2018年部门预算信息公开</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按照《预算法》、《地方预决算公开操作规程》和《河北省省级预算公开办法》规定，现将霸州市信访局2018年部门预算公开如下：</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一、部门职责及机构设置情况</w:t>
      </w:r>
    </w:p>
    <w:p>
      <w:pPr>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部门职责：</w:t>
      </w:r>
    </w:p>
    <w:p>
      <w:pPr>
        <w:spacing w:line="560" w:lineRule="exact"/>
        <w:ind w:firstLine="640" w:firstLineChars="200"/>
        <w:rPr>
          <w:rFonts w:ascii="仿宋" w:eastAsia="仿宋"/>
          <w:sz w:val="32"/>
          <w:szCs w:val="32"/>
          <w:highlight w:val="none"/>
        </w:rPr>
      </w:pPr>
      <w:r>
        <w:rPr>
          <w:rFonts w:hint="eastAsia" w:ascii="仿宋_GB2312" w:eastAsia="仿宋_GB2312"/>
          <w:bCs/>
          <w:sz w:val="32"/>
          <w:szCs w:val="32"/>
          <w:highlight w:val="none"/>
        </w:rPr>
        <w:t>1</w:t>
      </w:r>
      <w:r>
        <w:rPr>
          <w:rFonts w:hint="eastAsia" w:ascii="仿宋_GB2312" w:eastAsia="仿宋_GB2312" w:cs="FZFangSong-Z02"/>
          <w:sz w:val="32"/>
          <w:szCs w:val="32"/>
          <w:highlight w:val="none"/>
        </w:rPr>
        <w:t>、</w:t>
      </w:r>
      <w:r>
        <w:rPr>
          <w:rFonts w:hint="eastAsia" w:ascii="仿宋" w:eastAsia="仿宋"/>
          <w:color w:val="000000"/>
          <w:sz w:val="32"/>
          <w:szCs w:val="32"/>
          <w:highlight w:val="none"/>
        </w:rPr>
        <w:t xml:space="preserve">贯彻执行《中华人民共和国档案法》、《河北省档案工作条例》等国家、省和市关于档案管理方面的方针、政策和法律、法规、规章。                            </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2</w:t>
      </w:r>
      <w:r>
        <w:rPr>
          <w:rFonts w:hint="eastAsia" w:ascii="仿宋" w:eastAsia="仿宋" w:cs="FZFangSong-Z02"/>
          <w:sz w:val="32"/>
          <w:szCs w:val="32"/>
          <w:highlight w:val="none"/>
        </w:rPr>
        <w:t>、</w:t>
      </w:r>
      <w:r>
        <w:rPr>
          <w:rFonts w:hint="eastAsia" w:ascii="仿宋" w:eastAsia="仿宋"/>
          <w:color w:val="000000"/>
          <w:sz w:val="32"/>
          <w:szCs w:val="32"/>
          <w:highlight w:val="none"/>
        </w:rPr>
        <w:t>指导全市档案工作，制定全市档案事业发展的综合规划和专项计划，并依法实行宏观管理与监督指导。</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3</w:t>
      </w:r>
      <w:r>
        <w:rPr>
          <w:rFonts w:hint="eastAsia" w:ascii="仿宋" w:eastAsia="仿宋" w:cs="FZFangSong-Z02"/>
          <w:sz w:val="32"/>
          <w:szCs w:val="32"/>
          <w:highlight w:val="none"/>
        </w:rPr>
        <w:t>、</w:t>
      </w:r>
      <w:r>
        <w:rPr>
          <w:rFonts w:hint="eastAsia" w:ascii="仿宋" w:eastAsia="仿宋"/>
          <w:color w:val="000000"/>
          <w:sz w:val="32"/>
          <w:szCs w:val="32"/>
          <w:highlight w:val="none"/>
        </w:rPr>
        <w:t>拟定档案工作地方性制度和办法，依据有关法律、法规进行档案行政执法和监督。</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4</w:t>
      </w:r>
      <w:r>
        <w:rPr>
          <w:rFonts w:hint="eastAsia" w:ascii="仿宋" w:eastAsia="仿宋" w:cs="FZFangSong-Z02"/>
          <w:sz w:val="32"/>
          <w:szCs w:val="32"/>
          <w:highlight w:val="none"/>
        </w:rPr>
        <w:t>、</w:t>
      </w:r>
      <w:r>
        <w:rPr>
          <w:rFonts w:hint="eastAsia" w:ascii="仿宋" w:eastAsia="仿宋"/>
          <w:color w:val="000000"/>
          <w:sz w:val="32"/>
          <w:szCs w:val="32"/>
          <w:highlight w:val="none"/>
        </w:rPr>
        <w:t>利用档案为市委、市政府工作服务，向社会公众提供档案查阅、咨询；承担《中华人民共和国信息公开条例》和市政府规定的有关政府信息公开的各项任务。</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5</w:t>
      </w:r>
      <w:r>
        <w:rPr>
          <w:rFonts w:hint="eastAsia" w:ascii="仿宋" w:eastAsia="仿宋" w:cs="FZFangSong-Z02"/>
          <w:sz w:val="32"/>
          <w:szCs w:val="32"/>
          <w:highlight w:val="none"/>
        </w:rPr>
        <w:t>、</w:t>
      </w:r>
      <w:r>
        <w:rPr>
          <w:rFonts w:hint="eastAsia" w:ascii="仿宋" w:eastAsia="仿宋"/>
          <w:color w:val="000000"/>
          <w:sz w:val="32"/>
          <w:szCs w:val="32"/>
          <w:highlight w:val="none"/>
        </w:rPr>
        <w:t>按照国家统一规定及《河北省档案接收和收集管理办法》，负责市直机关档案系统化管理和接收；负责撤并单位的档案处置和接收工作；有计划地开展档案征集。</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 xml:space="preserve"> 6</w:t>
      </w:r>
      <w:r>
        <w:rPr>
          <w:rFonts w:hint="eastAsia" w:ascii="仿宋" w:eastAsia="仿宋" w:cs="FZFangSong-Z02"/>
          <w:sz w:val="32"/>
          <w:szCs w:val="32"/>
          <w:highlight w:val="none"/>
        </w:rPr>
        <w:t>、</w:t>
      </w:r>
      <w:r>
        <w:rPr>
          <w:rFonts w:hint="eastAsia" w:ascii="仿宋" w:eastAsia="仿宋"/>
          <w:color w:val="000000"/>
          <w:sz w:val="32"/>
          <w:szCs w:val="32"/>
          <w:highlight w:val="none"/>
        </w:rPr>
        <w:t>依法管理全市档案资料对外交流工作；依法管理全市档案鉴定、档案开放和目录公布。</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 xml:space="preserve"> 7</w:t>
      </w:r>
      <w:r>
        <w:rPr>
          <w:rFonts w:hint="eastAsia" w:ascii="仿宋" w:eastAsia="仿宋" w:cs="FZFangSong-Z02"/>
          <w:sz w:val="32"/>
          <w:szCs w:val="32"/>
          <w:highlight w:val="none"/>
        </w:rPr>
        <w:t>、</w:t>
      </w:r>
      <w:r>
        <w:rPr>
          <w:rFonts w:hint="eastAsia" w:ascii="仿宋" w:eastAsia="仿宋"/>
          <w:color w:val="000000"/>
          <w:sz w:val="32"/>
          <w:szCs w:val="32"/>
          <w:highlight w:val="none"/>
        </w:rPr>
        <w:t>负责市管企业、重点建设项目档案的监督与指导，会同有关部门对全市重点建设项目档案进行验收，保证重点建设项目档案齐全、完整。</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 xml:space="preserve"> 8</w:t>
      </w:r>
      <w:r>
        <w:rPr>
          <w:rFonts w:hint="eastAsia" w:ascii="仿宋" w:eastAsia="仿宋" w:cs="FZFangSong-Z02"/>
          <w:sz w:val="32"/>
          <w:szCs w:val="32"/>
          <w:highlight w:val="none"/>
        </w:rPr>
        <w:t>、</w:t>
      </w:r>
      <w:r>
        <w:rPr>
          <w:rFonts w:hint="eastAsia" w:ascii="仿宋" w:eastAsia="仿宋"/>
          <w:color w:val="000000"/>
          <w:sz w:val="32"/>
          <w:szCs w:val="32"/>
          <w:highlight w:val="none"/>
        </w:rPr>
        <w:t>制定全市档案干部队伍建设规划，组织档案专业教育和档案干部培训、表彰，协助做好档案专业技术职务评聘有关工作。</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 xml:space="preserve"> 9</w:t>
      </w:r>
      <w:r>
        <w:rPr>
          <w:rFonts w:hint="eastAsia" w:ascii="仿宋" w:eastAsia="仿宋" w:cs="FZFangSong-Z02"/>
          <w:sz w:val="32"/>
          <w:szCs w:val="32"/>
          <w:highlight w:val="none"/>
        </w:rPr>
        <w:t>、</w:t>
      </w:r>
      <w:r>
        <w:rPr>
          <w:rFonts w:hint="eastAsia" w:ascii="仿宋" w:eastAsia="仿宋"/>
          <w:color w:val="000000"/>
          <w:sz w:val="32"/>
          <w:szCs w:val="32"/>
          <w:highlight w:val="none"/>
        </w:rPr>
        <w:t>依照国家档案行业标准，制定配套技术规范，组织档案科技和学术交流，提高全市档案工作现代化管理水平。</w:t>
      </w:r>
    </w:p>
    <w:p>
      <w:pPr>
        <w:adjustRightInd w:val="0"/>
        <w:spacing w:line="560" w:lineRule="exact"/>
        <w:ind w:right="-17" w:rightChars="-8" w:firstLine="640" w:firstLineChars="200"/>
        <w:rPr>
          <w:rFonts w:ascii="仿宋" w:eastAsia="仿宋"/>
          <w:color w:val="000000"/>
          <w:sz w:val="32"/>
          <w:szCs w:val="32"/>
          <w:highlight w:val="none"/>
        </w:rPr>
      </w:pPr>
      <w:r>
        <w:rPr>
          <w:rFonts w:hint="eastAsia" w:ascii="仿宋" w:eastAsia="仿宋"/>
          <w:bCs/>
          <w:sz w:val="32"/>
          <w:szCs w:val="32"/>
          <w:highlight w:val="none"/>
        </w:rPr>
        <w:t>10</w:t>
      </w:r>
      <w:r>
        <w:rPr>
          <w:rFonts w:hint="eastAsia" w:ascii="仿宋" w:eastAsia="仿宋" w:cs="FZFangSong-Z02"/>
          <w:sz w:val="32"/>
          <w:szCs w:val="32"/>
          <w:highlight w:val="none"/>
        </w:rPr>
        <w:t>、</w:t>
      </w:r>
      <w:r>
        <w:rPr>
          <w:rFonts w:hint="eastAsia" w:ascii="仿宋" w:eastAsia="仿宋"/>
          <w:color w:val="000000"/>
          <w:sz w:val="32"/>
          <w:szCs w:val="32"/>
          <w:highlight w:val="none"/>
        </w:rPr>
        <w:t>集中统一管理市直机关、原天津地区、原廊坊地区重要档案资料和历史档案，保守党和国家机密，维护档案完整，确保档案资料安全。</w:t>
      </w:r>
    </w:p>
    <w:p>
      <w:pPr>
        <w:ind w:firstLine="640" w:firstLineChars="200"/>
        <w:rPr>
          <w:highlight w:val="none"/>
        </w:rPr>
      </w:pPr>
      <w:r>
        <w:rPr>
          <w:rFonts w:hint="eastAsia" w:ascii="仿宋" w:eastAsia="仿宋"/>
          <w:bCs/>
          <w:sz w:val="32"/>
          <w:szCs w:val="32"/>
          <w:highlight w:val="none"/>
        </w:rPr>
        <w:t>11</w:t>
      </w:r>
      <w:r>
        <w:rPr>
          <w:rFonts w:hint="eastAsia" w:ascii="仿宋" w:eastAsia="仿宋" w:cs="FZFangSong-Z02"/>
          <w:sz w:val="32"/>
          <w:szCs w:val="32"/>
          <w:highlight w:val="none"/>
        </w:rPr>
        <w:t>、</w:t>
      </w:r>
      <w:r>
        <w:rPr>
          <w:rFonts w:hint="eastAsia" w:ascii="仿宋" w:eastAsia="仿宋"/>
          <w:color w:val="000000"/>
          <w:sz w:val="32"/>
          <w:szCs w:val="32"/>
          <w:highlight w:val="none"/>
        </w:rPr>
        <w:t>承办市委、市政府交办的其他事项。</w:t>
      </w:r>
    </w:p>
    <w:p>
      <w:pPr>
        <w:autoSpaceDE w:val="0"/>
        <w:autoSpaceDN w:val="0"/>
        <w:adjustRightInd w:val="0"/>
        <w:ind w:firstLine="643" w:firstLineChars="200"/>
        <w:jc w:val="left"/>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机构设置：</w:t>
      </w:r>
    </w:p>
    <w:p>
      <w:pPr>
        <w:jc w:val="center"/>
        <w:outlineLvl w:val="0"/>
        <w:rPr>
          <w:rFonts w:ascii="Times New Roman" w:hAnsi="Times New Roman" w:eastAsia="方正小标宋_GBK" w:cs="Times New Roman"/>
          <w:sz w:val="32"/>
          <w:szCs w:val="24"/>
          <w:highlight w:val="none"/>
        </w:rPr>
      </w:pPr>
      <w:r>
        <w:rPr>
          <w:rFonts w:ascii="Times New Roman" w:hAnsi="Times New Roman" w:eastAsia="方正小标宋_GBK" w:cs="Times New Roman"/>
          <w:sz w:val="32"/>
          <w:szCs w:val="24"/>
          <w:highlight w:val="none"/>
        </w:rPr>
        <w:t>部门</w:t>
      </w:r>
      <w:r>
        <w:rPr>
          <w:rFonts w:hint="eastAsia" w:ascii="Times New Roman" w:hAnsi="Times New Roman" w:eastAsia="方正小标宋_GBK" w:cs="Times New Roman"/>
          <w:sz w:val="32"/>
          <w:szCs w:val="24"/>
          <w:highlight w:val="none"/>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highlight w:val="none"/>
              </w:rPr>
            </w:pPr>
            <w:r>
              <w:rPr>
                <w:rFonts w:hint="eastAsia" w:ascii="Times New Roman" w:hAnsi="Times New Roman" w:eastAsia="方正书宋_GBK" w:cs="Times New Roman"/>
                <w:szCs w:val="24"/>
                <w:highlight w:val="none"/>
              </w:rPr>
              <w:t>霸州市信访局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highlight w:val="none"/>
                <w:lang w:eastAsia="zh-CN"/>
              </w:rPr>
            </w:pPr>
            <w:r>
              <w:rPr>
                <w:rFonts w:hint="eastAsia" w:ascii="Times New Roman" w:hAnsi="Times New Roman" w:eastAsia="方正书宋_GBK" w:cs="Times New Roman"/>
                <w:szCs w:val="24"/>
                <w:highlight w:val="none"/>
                <w:lang w:val="en-US" w:eastAsia="zh-CN"/>
              </w:rPr>
              <w:t>行政</w:t>
            </w:r>
          </w:p>
        </w:tc>
        <w:tc>
          <w:tcPr>
            <w:tcW w:w="1536" w:type="dxa"/>
            <w:shd w:val="clear" w:color="auto" w:fill="auto"/>
            <w:vAlign w:val="center"/>
          </w:tcPr>
          <w:p>
            <w:pPr>
              <w:spacing w:line="300" w:lineRule="exact"/>
              <w:jc w:val="center"/>
              <w:rPr>
                <w:rFonts w:ascii="Times New Roman" w:hAnsi="Times New Roman" w:eastAsia="方正书宋_GBK" w:cs="Times New Roman"/>
                <w:szCs w:val="24"/>
                <w:highlight w:val="none"/>
              </w:rPr>
            </w:pPr>
            <w:r>
              <w:rPr>
                <w:rFonts w:hint="eastAsia" w:ascii="Times New Roman" w:hAnsi="Times New Roman" w:eastAsia="方正书宋_GBK" w:cs="Times New Roman"/>
                <w:szCs w:val="24"/>
                <w:highlight w:val="none"/>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highlight w:val="none"/>
                <w:lang w:val="en-US" w:eastAsia="zh-CN"/>
              </w:rPr>
            </w:pPr>
            <w:r>
              <w:rPr>
                <w:rFonts w:hint="eastAsia" w:ascii="Times New Roman" w:hAnsi="Times New Roman" w:eastAsia="方正书宋_GBK" w:cs="Times New Roman"/>
                <w:szCs w:val="24"/>
                <w:highlight w:val="none"/>
              </w:rPr>
              <w:t>财政</w:t>
            </w:r>
            <w:r>
              <w:rPr>
                <w:rFonts w:hint="eastAsia" w:ascii="Times New Roman" w:hAnsi="Times New Roman" w:eastAsia="方正书宋_GBK" w:cs="Times New Roman"/>
                <w:szCs w:val="24"/>
                <w:highlight w:val="none"/>
                <w:lang w:val="en-US" w:eastAsia="zh-CN"/>
              </w:rPr>
              <w:t>拨款</w:t>
            </w: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二、部门预算安排的总体情况</w:t>
      </w:r>
    </w:p>
    <w:p>
      <w:pPr>
        <w:ind w:firstLine="64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1、收入说明</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反映本部门当年全部收入。2018年预算收入779.51万元，其中：一般公共预算收入779.51万元，政府性基金预算收入0</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，国有资本经营</w:t>
      </w:r>
      <w:r>
        <w:rPr>
          <w:rFonts w:ascii="仿宋_GB2312" w:hAnsi="Times New Roman" w:eastAsia="仿宋_GB2312" w:cs="Times New Roman"/>
          <w:sz w:val="32"/>
          <w:szCs w:val="32"/>
          <w:highlight w:val="none"/>
        </w:rPr>
        <w:t>预算收入</w:t>
      </w:r>
      <w:r>
        <w:rPr>
          <w:rFonts w:hint="eastAsia" w:ascii="仿宋_GB2312" w:hAnsi="Times New Roman" w:eastAsia="仿宋_GB2312" w:cs="Times New Roman"/>
          <w:sz w:val="32"/>
          <w:szCs w:val="32"/>
          <w:highlight w:val="none"/>
        </w:rPr>
        <w:t>0</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上级补助收入</w:t>
      </w:r>
      <w:r>
        <w:rPr>
          <w:rFonts w:hint="eastAsia" w:ascii="仿宋_GB2312" w:hAnsi="Times New Roman" w:eastAsia="仿宋_GB2312" w:cs="Times New Roman"/>
          <w:sz w:val="32"/>
          <w:szCs w:val="32"/>
          <w:highlight w:val="none"/>
        </w:rPr>
        <w:t>0</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事业收入0万元，经营</w:t>
      </w:r>
      <w:r>
        <w:rPr>
          <w:rFonts w:ascii="仿宋_GB2312" w:hAnsi="Times New Roman" w:eastAsia="仿宋_GB2312" w:cs="Times New Roman"/>
          <w:sz w:val="32"/>
          <w:szCs w:val="32"/>
          <w:highlight w:val="none"/>
        </w:rPr>
        <w:t>收入</w:t>
      </w:r>
      <w:r>
        <w:rPr>
          <w:rFonts w:hint="eastAsia" w:ascii="仿宋_GB2312" w:hAnsi="Times New Roman" w:eastAsia="仿宋_GB2312" w:cs="Times New Roman"/>
          <w:sz w:val="32"/>
          <w:szCs w:val="32"/>
          <w:highlight w:val="none"/>
        </w:rPr>
        <w:t>0万元，附属单位上缴</w:t>
      </w:r>
      <w:r>
        <w:rPr>
          <w:rFonts w:ascii="仿宋_GB2312" w:hAnsi="Times New Roman" w:eastAsia="仿宋_GB2312" w:cs="Times New Roman"/>
          <w:sz w:val="32"/>
          <w:szCs w:val="32"/>
          <w:highlight w:val="none"/>
        </w:rPr>
        <w:t>收入</w:t>
      </w:r>
      <w:r>
        <w:rPr>
          <w:rFonts w:hint="eastAsia" w:ascii="仿宋_GB2312" w:hAnsi="Times New Roman" w:eastAsia="仿宋_GB2312" w:cs="Times New Roman"/>
          <w:sz w:val="32"/>
          <w:szCs w:val="32"/>
          <w:highlight w:val="none"/>
        </w:rPr>
        <w:t>0</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其他收入0万元。</w:t>
      </w:r>
    </w:p>
    <w:p>
      <w:pPr>
        <w:ind w:firstLine="64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2、支出说明</w:t>
      </w:r>
    </w:p>
    <w:p>
      <w:pPr>
        <w:ind w:firstLine="64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收支预算总表支出栏、基本支出表、项目支出表按经济分类和支出功能分类科目编制，反映霸州市信访局2018年度部门预算中支出预算的总体情况。2018年本部门支出预算779.51万元，其中：基本支出397.51万元，包括：人员经费351.19</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和日常公用经费46.32</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；项目支出382.00万元，全部为本级</w:t>
      </w:r>
      <w:r>
        <w:rPr>
          <w:rFonts w:ascii="仿宋_GB2312" w:hAnsi="Times New Roman" w:eastAsia="仿宋_GB2312" w:cs="Times New Roman"/>
          <w:sz w:val="32"/>
          <w:szCs w:val="32"/>
          <w:highlight w:val="none"/>
        </w:rPr>
        <w:t>支出，</w:t>
      </w:r>
      <w:r>
        <w:rPr>
          <w:rFonts w:hint="eastAsia" w:ascii="仿宋_GB2312" w:hAnsi="Times New Roman" w:eastAsia="仿宋_GB2312" w:cs="Times New Roman"/>
          <w:sz w:val="32"/>
          <w:szCs w:val="32"/>
          <w:highlight w:val="none"/>
        </w:rPr>
        <w:t>主要为信访业务经费、解决特殊疑难信访专项资金等；上缴上级支出0万元，</w:t>
      </w:r>
      <w:r>
        <w:rPr>
          <w:rFonts w:ascii="仿宋_GB2312" w:hAnsi="Times New Roman" w:eastAsia="仿宋_GB2312" w:cs="Times New Roman"/>
          <w:sz w:val="32"/>
          <w:szCs w:val="32"/>
          <w:highlight w:val="none"/>
        </w:rPr>
        <w:t>经营支出</w:t>
      </w:r>
      <w:r>
        <w:rPr>
          <w:rFonts w:hint="eastAsia" w:ascii="仿宋_GB2312" w:hAnsi="Times New Roman" w:eastAsia="仿宋_GB2312" w:cs="Times New Roman"/>
          <w:sz w:val="32"/>
          <w:szCs w:val="32"/>
          <w:highlight w:val="none"/>
        </w:rPr>
        <w:t>0</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对附属单位补助支出0万元。</w:t>
      </w:r>
    </w:p>
    <w:p>
      <w:pPr>
        <w:ind w:firstLine="64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3、比上年增减情况</w:t>
      </w:r>
    </w:p>
    <w:p>
      <w:pPr>
        <w:ind w:firstLine="640"/>
        <w:rPr>
          <w:rFonts w:ascii="仿宋_GB2312" w:hAnsi="黑体" w:eastAsia="仿宋_GB2312" w:cs="Times New Roman"/>
          <w:color w:val="000000" w:themeColor="text1"/>
          <w:sz w:val="32"/>
          <w:szCs w:val="32"/>
          <w:highlight w:val="none"/>
        </w:rPr>
      </w:pPr>
      <w:r>
        <w:rPr>
          <w:rFonts w:hint="eastAsia" w:ascii="仿宋_GB2312" w:hAnsi="Times New Roman" w:eastAsia="仿宋_GB2312" w:cs="Times New Roman"/>
          <w:color w:val="000000" w:themeColor="text1"/>
          <w:sz w:val="32"/>
          <w:szCs w:val="32"/>
          <w:highlight w:val="none"/>
        </w:rPr>
        <w:t>2018年预算收支安排779.51万元，较2017年预算增加230.01万元，其中：基本支出增加104.52万元，主要为增加人员经费增长；项目支出增加125.49万元，主要为增加信访业务办理项目支出。</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三、机关运行经费安排情况</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机关运行经费（日常公用）共计安排46.32万元，主要用于办公费、印刷费、水费、电费、邮电费、差旅费、维修（护）费、公务移动通讯费、公务交通补贴、个人邮电费、取暖费、公务用车运行维护费等日常运行支出。</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四、财政拨款</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三公</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经费预算情况及增减变化原因</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2018年，我部门“三公”经费预算安排3.41万元，其中：因公出国（境）费0万元；公务用车购置及运维费3.02万元（其中：公务用车购置费0万元，公务用车运行维护费3.02万元)；公务接待费0.39万元，较2017年“三公”经费增0.14万元，</w:t>
      </w:r>
      <w:r>
        <w:rPr>
          <w:rFonts w:hint="eastAsia" w:ascii="仿宋_GB2312" w:hAnsi="Times New Roman" w:eastAsia="仿宋_GB2312" w:cs="Times New Roman"/>
          <w:sz w:val="32"/>
          <w:szCs w:val="32"/>
          <w:highlight w:val="none"/>
        </w:rPr>
        <w:t>主要是因为</w:t>
      </w:r>
      <w:r>
        <w:rPr>
          <w:rFonts w:hint="eastAsia" w:ascii="仿宋_GB2312" w:hAnsi="Times New Roman" w:eastAsia="仿宋_GB2312" w:cs="Times New Roman"/>
          <w:sz w:val="32"/>
          <w:szCs w:val="32"/>
          <w:highlight w:val="none"/>
          <w:lang w:val="en-US" w:eastAsia="zh-CN"/>
        </w:rPr>
        <w:t>因公出国（境）费与2017年持平，无增减变化，</w:t>
      </w:r>
      <w:r>
        <w:rPr>
          <w:rFonts w:hint="eastAsia" w:ascii="仿宋_GB2312" w:hAnsi="Times New Roman" w:eastAsia="仿宋_GB2312" w:cs="Times New Roman"/>
          <w:sz w:val="32"/>
          <w:szCs w:val="32"/>
          <w:highlight w:val="none"/>
        </w:rPr>
        <w:t>公务用车购置费</w:t>
      </w:r>
      <w:r>
        <w:rPr>
          <w:rFonts w:hint="eastAsia" w:ascii="仿宋_GB2312" w:hAnsi="Times New Roman" w:eastAsia="仿宋_GB2312" w:cs="Times New Roman"/>
          <w:sz w:val="32"/>
          <w:szCs w:val="32"/>
          <w:highlight w:val="none"/>
          <w:lang w:val="en-US" w:eastAsia="zh-CN"/>
        </w:rPr>
        <w:t>与2017年持平，无增减变化，</w:t>
      </w:r>
      <w:r>
        <w:rPr>
          <w:rFonts w:hint="eastAsia" w:ascii="仿宋_GB2312" w:hAnsi="Times New Roman" w:eastAsia="仿宋_GB2312" w:cs="Times New Roman"/>
          <w:sz w:val="32"/>
          <w:szCs w:val="32"/>
          <w:highlight w:val="none"/>
        </w:rPr>
        <w:t>公务用车运行维护费</w:t>
      </w:r>
      <w:r>
        <w:rPr>
          <w:rFonts w:hint="eastAsia" w:ascii="仿宋_GB2312" w:hAnsi="Times New Roman" w:eastAsia="仿宋_GB2312" w:cs="Times New Roman"/>
          <w:sz w:val="32"/>
          <w:szCs w:val="32"/>
          <w:highlight w:val="none"/>
          <w:lang w:val="en-US" w:eastAsia="zh-CN"/>
        </w:rPr>
        <w:t>增加0.15万元，增加原因为公务用车保险较上年增加，公务接待费减少0.01万元，减少原因为预算编制计提基数降低</w:t>
      </w:r>
      <w:r>
        <w:rPr>
          <w:rFonts w:hint="eastAsia" w:ascii="仿宋_GB2312" w:hAnsi="Times New Roman" w:eastAsia="仿宋_GB2312" w:cs="Times New Roman"/>
          <w:sz w:val="32"/>
          <w:szCs w:val="32"/>
          <w:highlight w:val="none"/>
        </w:rPr>
        <w:t>。</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五、绩效预算信息</w:t>
      </w:r>
    </w:p>
    <w:p>
      <w:pPr>
        <w:ind w:firstLine="643" w:firstLineChars="200"/>
        <w:jc w:val="left"/>
        <w:rPr>
          <w:rFonts w:ascii="楷体_GB2312" w:hAnsi="Times New Roman" w:eastAsia="楷体_GB2312" w:cs="Times New Roman"/>
          <w:b/>
          <w:sz w:val="32"/>
          <w:szCs w:val="32"/>
          <w:highlight w:val="none"/>
        </w:rPr>
      </w:pPr>
      <w:bookmarkStart w:id="0" w:name="_Toc471398463"/>
      <w:r>
        <w:rPr>
          <w:rFonts w:hint="eastAsia" w:ascii="楷体_GB2312" w:hAnsi="Times New Roman" w:eastAsia="楷体_GB2312" w:cs="Times New Roman"/>
          <w:b/>
          <w:sz w:val="32"/>
          <w:szCs w:val="32"/>
          <w:highlight w:val="none"/>
        </w:rPr>
        <w:t>总体绩效目标：</w:t>
      </w:r>
    </w:p>
    <w:p>
      <w:pPr>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年度发展规划目标</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总体目标：</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近年来，随着政治经济改革的不断深入，利益格局的重新调整，各种深层次的社会矛盾和社会问题日渐凸显，群众上访成倍增加。为适应新形势下信访工作需要，信访局不断强化力度，全年保持着高强度的工作状态，在多次重大敏感时期更是坚持长时间超负荷运转，努力维护社会稳定秩序。</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加强调度部署，保持良好工作局面。我市始终把信访工作当做一场硬仗来打，摆在重要位置来部署推进，积极抓好落实。一是精心组织部署。针对各阶段重点，市委、市政府多次召开全市信访稳定工作大会，市联席会议每月至少召开一次例会，明确目标，周密部署，确保达成实效。二是领导调度推进。市委、市政府主要领导主动参加市联席会议工作例会，调度信访积案，督导工作落实；在全国“两会”等重大敏感时期实行双日调度，召集市级相关包案领导和重点乡镇、责任单位召开案件碰头会，下大力度化解疑难信访问题。三是利用信息平台实现工作快速联动。开通信访工作微信群，由市委、市政府主要领导，市联席会议召集人，各相关部门和乡镇主要负责同志组成，对信访工作情况进行快速沟通、及时调度，确保第一时间发现问题、解决问题。</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健全制度机制，激发群众工作效能活力。全面建成“以市群众工作中心为核心纽带，以乡级群众工作站为枝干延伸，以村级群众工作室为基层节点”的群众工作网络，并通过探索实践、交流经验等，不断健全工作机制、提升工作质量。当前，运用群众工作思维，深入化解基层矛盾的作用正在显现。一是市群众工作中心高效运转。群工中心新建接待大厅面积达1077平方米，设立13个接访窗口，抽调19个市直部门进驻。制定了《群众工作中心工作流程》、《加强中心管理的各项规定》、《入驻人员考核管理办法》等一系列配套制度，对入驻干部每周开展一次集中学习培训，每月进行一次综合考评和通报，推动中心规范管理、高效运行。经过“统一分流”、“三级调处”，实现了信访由“中转站”向“终点站”的转变。二是乡、村两级群众工作平台开始发挥实效。全市15个乡镇（区、办）群众工作站、373个村街（社区、企业）群众工作室全部建成并投入使用。在村级群众工作室，突出矛盾纠纷的排查、吸附作用，重大问题及时上报，并引导群众逐级、有序上访；在乡级群众工作站，统筹信访、综治、司法等部门力量，适时引入法律援助，通过统一战线、形成合力，推动信访问题依法就地解决。三是转变作风，服务群众。结合作风整顿、政策落实年和素质提升年活动，以争当“优秀接访员、办信能手、办案标兵、优秀督办员” 为活动载体，积极开展岗位大练兵，不断强化信访干部的责任意识、服务意识和群众工作能力。</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三）立足事要解决，攻坚化解信访积案。我市把化解信访积案列为全市重点工作之一，制定了《霸州市化解信访积案集中行动实施方案》，在全市范围开展信访积案化解暨非访治理攻坚月行动，将进京非访案件、进京赴省集体上访案件、已结未息诉案件全部列入攻坚范畴，以“真正解决问题”为出发点和落脚点，落实“四个集中一批”措施，强力攻坚。一是集中调度化解一批。实行每周集中调度机制，市联席会议牵头召集市级相关包案领导和责任单位，集中调度疑难信访积案的处置进展情况，研究制定化解措施，推动案件快速、妥善解决。二是集中约访处置一批。实行领导干部重点约访制度，市级包案领导牵头组织各涉案责任部门，并聘请律师提供法律援助，共同约访上访群众，现场拍板解决问题。三是集中治理打击一批。对已经依法按政策办理答复，做到“四个到位、四不欠账”，但上访人仍坚持无理缠访闹访、进京非访的，依法严肃处理。四是集中通报追责一批。严格信访通报追责制度，实行每日通报访情、每周工作倒排；同时，对因工作开展不力、责任落实不到位，造成群众上访问题频发、多发或影响全市稳定工作大局的，追究责任单位相关领导和具体责任人员的责任。</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四）强化非访治理，从“依法信访”上造声势。严格执行《关于公安机关处置信访活动中违法犯罪行为适用法律的指导意见》（公通字〔2013〕25号）和《关于依法处理信访活动中有关违法犯罪行为的指导意见》（冀公法〔2015〕100号），对信访活动中的违法行为坚决依法处置，并选择典型案例向社会公开曝光。对违法上访行为形成了有力震慑。同时，大力营造“法治信访”的环境氛围，在全市所有乡镇、村街的重要路段、重要部位悬挂信访宣传标语，向群众发放信访漫画，在“两台一报”滚动播放信访法律法规、宣传视频等，通过多种渠道、多种方式，加强宣传力度，引导群众依法、逐级、理性、有序表达信访诉求，促进社会和谐稳定。</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职责分类绩效目标：</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中共霸州市委、霸州市人民政府信访局是代表市委、市政府处理人民群众来信，接待群众来访事项，保障信访渠道畅通，指导、协调信访工作的综合部门，主要职责是：</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一、负责处理人民群众给市委、市政府的来信，接待要求当面向市委、市政府领导同志反映意愿的人民群众，办理上级领导机关转来的我市群众信件。</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二、承办市委、市政府领导同志交办的信访事项，督促检查领导同志有关批示的落实情况，向乡镇区办和市直部门交办信访事项，督促检查重要信访事项的处理和落实。</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三、协调处理跨乡镇区办、跨部门的重要信访问题，协调处理集体访和异常、突发信访事件，协调乡镇区办和市直部门的信访工作。</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四、督促和检查指导全市的信访工作，抓好全市信访工作系统基础建设，组织信访干部培训。</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五、调查研究和综合分析全市的信访形势和信访工作现状，并向市委、市政府提出改进和加强信访工作的意见和建议，总结和推广各乡镇区办、市直各部门信访工作经验，反馈信访信息。</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六、研究提出全市信访工作的思路，拟定信访工作的有关政策、规定；参与组织、协调、指导全市社会治安综合治理和维护社会政治稳定工作，协助保障国家、省、廊坊市和本市重大政治活动的顺利进行，参与处理影响社会政治稳定的突发性、群体性事件；负责对乡镇（区、办）党委、政府和市直有关部门信访工作年度责任目标的考核，负责对全市社会治安综合治理和维护社会政治稳定年度责任目标中有关信访工作的考核。</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七、负责市委、市政府及领导同志交办的其他事项。</w:t>
      </w:r>
    </w:p>
    <w:p>
      <w:pPr>
        <w:ind w:firstLine="643" w:firstLineChars="200"/>
        <w:jc w:val="left"/>
        <w:outlineLvl w:val="0"/>
        <w:rPr>
          <w:rFonts w:ascii="楷体_GB2312" w:hAnsi="Times New Roman" w:eastAsia="楷体_GB2312" w:cs="Times New Roman"/>
          <w:b/>
          <w:sz w:val="32"/>
          <w:szCs w:val="24"/>
          <w:highlight w:val="none"/>
        </w:rPr>
      </w:pPr>
      <w:r>
        <w:rPr>
          <w:rFonts w:hint="eastAsia" w:ascii="楷体_GB2312" w:hAnsi="黑体" w:eastAsia="楷体_GB2312" w:cs="Times New Roman"/>
          <w:b/>
          <w:sz w:val="32"/>
          <w:szCs w:val="32"/>
          <w:highlight w:val="none"/>
        </w:rPr>
        <w:t>部门职责及工作活动绩效目标指标：</w:t>
      </w:r>
    </w:p>
    <w:p>
      <w:pPr>
        <w:jc w:val="center"/>
        <w:outlineLvl w:val="0"/>
        <w:rPr>
          <w:rFonts w:ascii="方正小标宋_GBK" w:hAnsi="Times New Roman" w:eastAsia="方正小标宋_GBK" w:cs="Times New Roman"/>
          <w:sz w:val="32"/>
          <w:szCs w:val="24"/>
          <w:highlight w:val="none"/>
        </w:rPr>
      </w:pPr>
      <w:r>
        <w:rPr>
          <w:rFonts w:hint="eastAsia" w:ascii="方正小标宋_GBK" w:hAnsi="Times New Roman" w:eastAsia="方正小标宋_GBK" w:cs="Times New Roman"/>
          <w:sz w:val="32"/>
          <w:szCs w:val="24"/>
          <w:highlight w:val="none"/>
        </w:rPr>
        <w:t>部门职责-工作活动绩效目标</w:t>
      </w:r>
      <w:bookmarkEnd w:id="0"/>
    </w:p>
    <w:tbl>
      <w:tblPr>
        <w:tblStyle w:val="8"/>
        <w:tblW w:w="14174" w:type="dxa"/>
        <w:tblInd w:w="0" w:type="dxa"/>
        <w:tblBorders>
          <w:top w:val="single" w:color="FFFFFF" w:sz="6" w:space="0"/>
          <w:left w:val="single" w:color="FFFFFF" w:sz="6" w:space="0"/>
          <w:bottom w:val="single" w:color="000000" w:sz="6" w:space="0"/>
          <w:right w:val="single" w:color="FFFFFF" w:sz="6" w:space="0"/>
          <w:insideH w:val="none" w:color="auto" w:sz="0" w:space="0"/>
          <w:insideV w:val="single" w:color="FFFF00" w:sz="6" w:space="0"/>
        </w:tblBorders>
        <w:tblLayout w:type="fixed"/>
        <w:tblCellMar>
          <w:top w:w="0" w:type="dxa"/>
          <w:left w:w="108" w:type="dxa"/>
          <w:bottom w:w="0" w:type="dxa"/>
          <w:right w:w="108" w:type="dxa"/>
        </w:tblCellMar>
      </w:tblPr>
      <w:tblGrid>
        <w:gridCol w:w="1429"/>
        <w:gridCol w:w="1197"/>
        <w:gridCol w:w="3880"/>
        <w:gridCol w:w="1746"/>
        <w:gridCol w:w="1429"/>
        <w:gridCol w:w="1021"/>
        <w:gridCol w:w="1226"/>
        <w:gridCol w:w="1225"/>
        <w:gridCol w:w="1021"/>
      </w:tblGrid>
      <w:tr>
        <w:tblPrEx>
          <w:tblBorders>
            <w:top w:val="single" w:color="FFFFFF" w:sz="6" w:space="0"/>
            <w:left w:val="single" w:color="FFFFFF" w:sz="6" w:space="0"/>
            <w:bottom w:val="single" w:color="000000" w:sz="6" w:space="0"/>
            <w:right w:val="single" w:color="FFFFFF" w:sz="6" w:space="0"/>
            <w:insideH w:val="none" w:color="auto" w:sz="0" w:space="0"/>
            <w:insideV w:val="single" w:color="FFFF00" w:sz="6" w:space="0"/>
          </w:tblBorders>
          <w:tblLayout w:type="fixed"/>
          <w:tblCellMar>
            <w:top w:w="0" w:type="dxa"/>
            <w:left w:w="108" w:type="dxa"/>
            <w:bottom w:w="0" w:type="dxa"/>
            <w:right w:w="108" w:type="dxa"/>
          </w:tblCellMar>
        </w:tblPrEx>
        <w:trPr>
          <w:trHeight w:val="215" w:hRule="atLeast"/>
          <w:tblHeader/>
        </w:trPr>
        <w:tc>
          <w:tcPr>
            <w:tcW w:w="9681" w:type="dxa"/>
            <w:gridSpan w:val="5"/>
            <w:tcBorders>
              <w:top w:val="single" w:color="FFFFFF" w:sz="6" w:space="0"/>
              <w:left w:val="single" w:color="FFFFFF" w:sz="6" w:space="0"/>
              <w:bottom w:val="single" w:color="000000" w:sz="6" w:space="0"/>
              <w:right w:val="single" w:color="FFFFFF" w:sz="6" w:space="0"/>
            </w:tcBorders>
            <w:vAlign w:val="center"/>
          </w:tcPr>
          <w:p>
            <w:pPr>
              <w:spacing w:line="500" w:lineRule="exact"/>
              <w:jc w:val="left"/>
              <w:rPr>
                <w:rFonts w:ascii="方正仿宋_GBK" w:eastAsia="方正仿宋_GBK"/>
                <w:sz w:val="28"/>
                <w:highlight w:val="none"/>
              </w:rPr>
            </w:pPr>
            <w:r>
              <w:rPr>
                <w:rFonts w:ascii="方正仿宋_GBK" w:eastAsia="方正仿宋_GBK"/>
                <w:sz w:val="28"/>
                <w:highlight w:val="none"/>
              </w:rPr>
              <w:t>107霸州市信访局</w:t>
            </w:r>
          </w:p>
        </w:tc>
        <w:tc>
          <w:tcPr>
            <w:tcW w:w="4493" w:type="dxa"/>
            <w:gridSpan w:val="4"/>
            <w:tcBorders>
              <w:top w:val="single" w:color="FFFFFF" w:sz="6" w:space="0"/>
              <w:left w:val="single" w:color="FFFFFF" w:sz="6" w:space="0"/>
              <w:bottom w:val="single" w:color="000000" w:sz="6" w:space="0"/>
              <w:right w:val="single" w:color="FFFFFF" w:sz="6" w:space="0"/>
            </w:tcBorders>
            <w:vAlign w:val="center"/>
          </w:tcPr>
          <w:p>
            <w:pPr>
              <w:spacing w:line="500" w:lineRule="exact"/>
              <w:jc w:val="right"/>
              <w:rPr>
                <w:rFonts w:ascii="方正仿宋_GBK" w:eastAsia="方正仿宋_GBK"/>
                <w:sz w:val="28"/>
                <w:highlight w:val="none"/>
              </w:rPr>
            </w:pPr>
            <w:r>
              <w:rPr>
                <w:rFonts w:ascii="方正仿宋_GBK" w:eastAsia="方正仿宋_GBK"/>
                <w:sz w:val="28"/>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15" w:hRule="atLeast"/>
          <w:tblHeader/>
        </w:trPr>
        <w:tc>
          <w:tcPr>
            <w:tcW w:w="1429"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职责活动</w:t>
            </w:r>
          </w:p>
        </w:tc>
        <w:tc>
          <w:tcPr>
            <w:tcW w:w="1197"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年度预算数</w:t>
            </w:r>
          </w:p>
        </w:tc>
        <w:tc>
          <w:tcPr>
            <w:tcW w:w="3880"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内容描述</w:t>
            </w:r>
          </w:p>
        </w:tc>
        <w:tc>
          <w:tcPr>
            <w:tcW w:w="1746"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绩效目标</w:t>
            </w:r>
          </w:p>
        </w:tc>
        <w:tc>
          <w:tcPr>
            <w:tcW w:w="1429"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绩效指标</w:t>
            </w:r>
          </w:p>
        </w:tc>
        <w:tc>
          <w:tcPr>
            <w:tcW w:w="4493" w:type="dxa"/>
            <w:gridSpan w:val="4"/>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0" w:type="dxa"/>
          </w:tblCellMar>
        </w:tblPrEx>
        <w:trPr>
          <w:cantSplit/>
          <w:trHeight w:val="215" w:hRule="atLeast"/>
          <w:tblHeader/>
        </w:trPr>
        <w:tc>
          <w:tcPr>
            <w:tcW w:w="1429"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197" w:type="dxa"/>
            <w:vMerge w:val="continue"/>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p>
        </w:tc>
        <w:tc>
          <w:tcPr>
            <w:tcW w:w="3880" w:type="dxa"/>
            <w:vMerge w:val="continue"/>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p>
        </w:tc>
        <w:tc>
          <w:tcPr>
            <w:tcW w:w="1746" w:type="dxa"/>
            <w:vMerge w:val="continue"/>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p>
        </w:tc>
        <w:tc>
          <w:tcPr>
            <w:tcW w:w="1429" w:type="dxa"/>
            <w:vMerge w:val="continue"/>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优</w:t>
            </w:r>
          </w:p>
        </w:tc>
        <w:tc>
          <w:tcPr>
            <w:tcW w:w="1226"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良</w:t>
            </w:r>
          </w:p>
        </w:tc>
        <w:tc>
          <w:tcPr>
            <w:tcW w:w="1225"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中</w:t>
            </w: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5" w:hRule="atLeast"/>
        </w:trPr>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信访问</w:t>
            </w:r>
          </w:p>
          <w:p>
            <w:pPr>
              <w:spacing w:line="500" w:lineRule="exact"/>
              <w:jc w:val="center"/>
              <w:rPr>
                <w:rFonts w:ascii="方正仿宋_GBK" w:eastAsia="方正仿宋_GBK"/>
                <w:sz w:val="28"/>
                <w:highlight w:val="none"/>
              </w:rPr>
            </w:pPr>
            <w:r>
              <w:rPr>
                <w:rFonts w:ascii="方正仿宋_GBK" w:eastAsia="方正仿宋_GBK"/>
                <w:sz w:val="28"/>
                <w:highlight w:val="none"/>
              </w:rPr>
              <w:t>题处理</w:t>
            </w:r>
          </w:p>
        </w:tc>
        <w:tc>
          <w:tcPr>
            <w:tcW w:w="11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453</w:t>
            </w:r>
          </w:p>
        </w:tc>
        <w:tc>
          <w:tcPr>
            <w:tcW w:w="38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负责正常信访、非访、突发性及群体性事件的办理；提供相关服务保障；协助上级信访局处理越级上访；信访事项督查、复查复核、听证；负责县委县政府交办的其他事项。</w:t>
            </w:r>
          </w:p>
        </w:tc>
        <w:tc>
          <w:tcPr>
            <w:tcW w:w="17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畅通信访渠道，减少信访案件，维护社会和谐稳定。</w:t>
            </w:r>
          </w:p>
        </w:tc>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22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22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15" w:hRule="atLeast"/>
        </w:trPr>
        <w:tc>
          <w:tcPr>
            <w:tcW w:w="1429"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信访业务办理</w:t>
            </w:r>
          </w:p>
        </w:tc>
        <w:tc>
          <w:tcPr>
            <w:tcW w:w="1197"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63.00</w:t>
            </w:r>
          </w:p>
        </w:tc>
        <w:tc>
          <w:tcPr>
            <w:tcW w:w="3880"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办理人民群众来信、来访、网上信访；协助上级信访局处理越级上访工作。</w:t>
            </w:r>
          </w:p>
        </w:tc>
        <w:tc>
          <w:tcPr>
            <w:tcW w:w="1746"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畅通信访渠道，提高信访事项办理质量和效率。</w:t>
            </w:r>
          </w:p>
        </w:tc>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信访事项受理及时率</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100%</w:t>
            </w:r>
          </w:p>
        </w:tc>
        <w:tc>
          <w:tcPr>
            <w:tcW w:w="122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≥95%</w:t>
            </w:r>
          </w:p>
        </w:tc>
        <w:tc>
          <w:tcPr>
            <w:tcW w:w="122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≥90%</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0" w:type="dxa"/>
          </w:tblCellMar>
        </w:tblPrEx>
        <w:trPr>
          <w:cantSplit/>
          <w:trHeight w:val="215" w:hRule="atLeast"/>
        </w:trPr>
        <w:tc>
          <w:tcPr>
            <w:tcW w:w="1429"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197"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3880"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746"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429"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信访事项按期结案率</w:t>
            </w: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100%</w:t>
            </w:r>
          </w:p>
        </w:tc>
        <w:tc>
          <w:tcPr>
            <w:tcW w:w="1226"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≥95%</w:t>
            </w:r>
          </w:p>
        </w:tc>
        <w:tc>
          <w:tcPr>
            <w:tcW w:w="1225"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≥90%</w:t>
            </w: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15" w:hRule="atLeast"/>
        </w:trPr>
        <w:tc>
          <w:tcPr>
            <w:tcW w:w="1429"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全市信访维稳资金，处置非访、突发性及群体性事件</w:t>
            </w:r>
          </w:p>
        </w:tc>
        <w:tc>
          <w:tcPr>
            <w:tcW w:w="1197"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300</w:t>
            </w:r>
          </w:p>
        </w:tc>
        <w:tc>
          <w:tcPr>
            <w:tcW w:w="3880"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协助公安机关维护重点区域的正常工作秩序；处置影响社会政治稳定的各类非访、突发性、群体性事件；负责组织协调、稳控劝返、服务保障我县越级非访工作。承办县联席办的日常工作。</w:t>
            </w:r>
          </w:p>
        </w:tc>
        <w:tc>
          <w:tcPr>
            <w:tcW w:w="1746"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妥善处置非正常访，维护社会大局和谐稳定。</w:t>
            </w:r>
          </w:p>
        </w:tc>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信访事项受理及时率</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100%</w:t>
            </w:r>
          </w:p>
        </w:tc>
        <w:tc>
          <w:tcPr>
            <w:tcW w:w="122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≥95%</w:t>
            </w:r>
          </w:p>
        </w:tc>
        <w:tc>
          <w:tcPr>
            <w:tcW w:w="122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≥90%</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0" w:type="dxa"/>
          </w:tblCellMar>
        </w:tblPrEx>
        <w:trPr>
          <w:cantSplit/>
          <w:trHeight w:val="215" w:hRule="atLeast"/>
        </w:trPr>
        <w:tc>
          <w:tcPr>
            <w:tcW w:w="1429"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197"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3880"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746"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429"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信访事项按期结案率</w:t>
            </w: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100%</w:t>
            </w:r>
          </w:p>
        </w:tc>
        <w:tc>
          <w:tcPr>
            <w:tcW w:w="1226"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≥95%</w:t>
            </w:r>
          </w:p>
        </w:tc>
        <w:tc>
          <w:tcPr>
            <w:tcW w:w="1225"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≥90%</w:t>
            </w: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15" w:hRule="atLeast"/>
        </w:trPr>
        <w:tc>
          <w:tcPr>
            <w:tcW w:w="1429"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信访事项督查、复查复核、听证</w:t>
            </w:r>
          </w:p>
        </w:tc>
        <w:tc>
          <w:tcPr>
            <w:tcW w:w="1197"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50.00</w:t>
            </w:r>
          </w:p>
        </w:tc>
        <w:tc>
          <w:tcPr>
            <w:tcW w:w="3880"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负责指导全县信访督查、复查复核、听证等工作，并对相关事项进行审核、上报；负责信访疑难案件的督办。</w:t>
            </w:r>
          </w:p>
        </w:tc>
        <w:tc>
          <w:tcPr>
            <w:tcW w:w="1746" w:type="dxa"/>
            <w:vMerge w:val="restart"/>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推动重要信访事项解决，规范信访事项办理、终结，用好特殊疑难信访问题专项资金。</w:t>
            </w:r>
          </w:p>
        </w:tc>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解决特殊信访疑难问题件数</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≥8</w:t>
            </w:r>
          </w:p>
        </w:tc>
        <w:tc>
          <w:tcPr>
            <w:tcW w:w="122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7</w:t>
            </w:r>
          </w:p>
        </w:tc>
        <w:tc>
          <w:tcPr>
            <w:tcW w:w="122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6</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0" w:type="dxa"/>
          </w:tblCellMar>
        </w:tblPrEx>
        <w:trPr>
          <w:cantSplit/>
          <w:trHeight w:val="215" w:hRule="atLeast"/>
        </w:trPr>
        <w:tc>
          <w:tcPr>
            <w:tcW w:w="1429"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197"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3880"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746" w:type="dxa"/>
            <w:vMerge w:val="continue"/>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429"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督办信访案件数</w:t>
            </w: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≥8</w:t>
            </w:r>
          </w:p>
        </w:tc>
        <w:tc>
          <w:tcPr>
            <w:tcW w:w="1226"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7</w:t>
            </w:r>
          </w:p>
        </w:tc>
        <w:tc>
          <w:tcPr>
            <w:tcW w:w="1225"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6</w:t>
            </w:r>
          </w:p>
        </w:tc>
        <w:tc>
          <w:tcPr>
            <w:tcW w:w="1021" w:type="dxa"/>
            <w:tcBorders>
              <w:top w:val="single" w:color="000000" w:sz="6" w:space="0"/>
              <w:left w:val="single" w:color="000000" w:sz="6" w:space="0"/>
              <w:bottom w:val="single" w:color="000000" w:sz="6" w:space="0"/>
              <w:right w:val="single" w:color="000000" w:sz="6" w:space="0"/>
            </w:tcBorders>
            <w:tcMar>
              <w:right w:w="108" w:type="dxa"/>
            </w:tcMar>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15" w:hRule="atLeast"/>
        </w:trPr>
        <w:tc>
          <w:tcPr>
            <w:tcW w:w="1429"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信访事务管理</w:t>
            </w:r>
          </w:p>
        </w:tc>
        <w:tc>
          <w:tcPr>
            <w:tcW w:w="1197"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3880"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调研提出信访工作对策建议；督促检查和指导全县信访工作；机关日常工作。</w:t>
            </w:r>
          </w:p>
        </w:tc>
        <w:tc>
          <w:tcPr>
            <w:tcW w:w="1746"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进一步提高信访干部业务能力；吸收可行建议，改进信访工作；提高信访信息化应用水平，实现办公自动化、网络化智能化。保障机要邮件正常传递和信访群众服务中心正常运转；确保会议正常召开。</w:t>
            </w:r>
          </w:p>
        </w:tc>
        <w:tc>
          <w:tcPr>
            <w:tcW w:w="1429"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226"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225"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000000" w:sz="6"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5" w:hRule="atLeast"/>
        </w:trPr>
        <w:tc>
          <w:tcPr>
            <w:tcW w:w="1429"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律师心理咨询师、离退休法官、检察官（4人）</w:t>
            </w:r>
          </w:p>
        </w:tc>
        <w:tc>
          <w:tcPr>
            <w:tcW w:w="1197"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30</w:t>
            </w:r>
          </w:p>
        </w:tc>
        <w:tc>
          <w:tcPr>
            <w:tcW w:w="3880"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746"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429"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226"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225"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3" w:hRule="atLeast"/>
        </w:trPr>
        <w:tc>
          <w:tcPr>
            <w:tcW w:w="1429" w:type="dxa"/>
            <w:tcBorders>
              <w:top w:val="single" w:color="auto" w:sz="4" w:space="0"/>
              <w:left w:val="single" w:color="000000" w:sz="6" w:space="0"/>
              <w:bottom w:val="single" w:color="auto" w:sz="4"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信访干部岗位津贴</w:t>
            </w:r>
          </w:p>
        </w:tc>
        <w:tc>
          <w:tcPr>
            <w:tcW w:w="1197"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10</w:t>
            </w:r>
          </w:p>
        </w:tc>
        <w:tc>
          <w:tcPr>
            <w:tcW w:w="3880"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746"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429"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226"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225"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5" w:hRule="atLeast"/>
        </w:trPr>
        <w:tc>
          <w:tcPr>
            <w:tcW w:w="1429" w:type="dxa"/>
            <w:tcBorders>
              <w:top w:val="single" w:color="auto" w:sz="4"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其他综合事务管理</w:t>
            </w:r>
          </w:p>
        </w:tc>
        <w:tc>
          <w:tcPr>
            <w:tcW w:w="11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38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调研提出信访工作对策建议；督促检查和指导全县信访工作；信息化建设与运维管理；机要邮件正常传递；负责局机关行政后勤、资产、物业管理。</w:t>
            </w:r>
          </w:p>
        </w:tc>
        <w:tc>
          <w:tcPr>
            <w:tcW w:w="17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进一步提高信访干部业务能力；吸收可行建议，改进信访工作；提高信访信息化应用水平。保障机要邮件正常传递和信访群众服务中心正常运转；确保会议正常召开。</w:t>
            </w:r>
          </w:p>
        </w:tc>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其他各项综合实务工作完成率</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100%</w:t>
            </w:r>
          </w:p>
        </w:tc>
        <w:tc>
          <w:tcPr>
            <w:tcW w:w="122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≥95%</w:t>
            </w:r>
          </w:p>
        </w:tc>
        <w:tc>
          <w:tcPr>
            <w:tcW w:w="122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≥90%</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5" w:hRule="atLeast"/>
        </w:trPr>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群众工作中心</w:t>
            </w:r>
          </w:p>
        </w:tc>
        <w:tc>
          <w:tcPr>
            <w:tcW w:w="11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60</w:t>
            </w:r>
          </w:p>
        </w:tc>
        <w:tc>
          <w:tcPr>
            <w:tcW w:w="38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负责宣传《信访条例》及有关法律法规，教育引导群众依法反映问题，规范信访秩序。承担市委群众工作委员会交办的其它工作事项。</w:t>
            </w:r>
          </w:p>
        </w:tc>
        <w:tc>
          <w:tcPr>
            <w:tcW w:w="17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调查社情民意，征集群众意见建议，分析群众工作形势，及时向市委提出完善政策和改进群众工作的建议。维护社会和谐稳定。</w:t>
            </w:r>
          </w:p>
        </w:tc>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22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22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5" w:hRule="atLeast"/>
        </w:trPr>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群众工作</w:t>
            </w:r>
          </w:p>
        </w:tc>
        <w:tc>
          <w:tcPr>
            <w:tcW w:w="11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60</w:t>
            </w:r>
          </w:p>
        </w:tc>
        <w:tc>
          <w:tcPr>
            <w:tcW w:w="38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负责接待处理群众到市上访，组织市直部门开展联合接访，协调市级领导开展接访约访，下访活动。建立三级调处机制，组织、协调重大复杂矛盾纠纷和信访突出问题，解释解答群众咨询相关问题，做好群众的思想疏导工作。</w:t>
            </w:r>
          </w:p>
        </w:tc>
        <w:tc>
          <w:tcPr>
            <w:tcW w:w="17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总结推广群众群众工作方面的先进典型和经验，推动群众工作机制创新。</w:t>
            </w:r>
          </w:p>
        </w:tc>
        <w:tc>
          <w:tcPr>
            <w:tcW w:w="142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信访事项按期结案率</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100%</w:t>
            </w:r>
          </w:p>
        </w:tc>
        <w:tc>
          <w:tcPr>
            <w:tcW w:w="122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≥95%</w:t>
            </w:r>
          </w:p>
        </w:tc>
        <w:tc>
          <w:tcPr>
            <w:tcW w:w="122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≥90%</w:t>
            </w:r>
          </w:p>
        </w:tc>
        <w:tc>
          <w:tcPr>
            <w:tcW w:w="10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方正仿宋_GBK" w:eastAsia="方正仿宋_GBK"/>
                <w:sz w:val="28"/>
                <w:highlight w:val="none"/>
              </w:rPr>
            </w:pPr>
            <w:r>
              <w:rPr>
                <w:rFonts w:ascii="方正仿宋_GBK" w:eastAsia="方正仿宋_GBK"/>
                <w:sz w:val="28"/>
                <w:highlight w:val="none"/>
              </w:rPr>
              <w:t>&lt;90%</w:t>
            </w: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六、政府采购预算情况</w:t>
      </w:r>
    </w:p>
    <w:p>
      <w:pPr>
        <w:ind w:firstLine="640" w:firstLineChars="200"/>
        <w:rPr>
          <w:rFonts w:ascii="仿宋_GB2312" w:hAnsi="Times New Roman" w:eastAsia="仿宋_GB2312" w:cs="Times New Roman"/>
          <w:sz w:val="32"/>
          <w:szCs w:val="32"/>
          <w:highlight w:val="none"/>
        </w:rPr>
      </w:pPr>
      <w:bookmarkStart w:id="1" w:name="_Toc471398468"/>
      <w:r>
        <w:rPr>
          <w:rFonts w:hint="eastAsia" w:ascii="仿宋_GB2312" w:hAnsi="Times New Roman" w:eastAsia="仿宋_GB2312" w:cs="Times New Roman"/>
          <w:sz w:val="32"/>
          <w:szCs w:val="32"/>
          <w:highlight w:val="none"/>
        </w:rPr>
        <w:t>2018年，我部门安排政府采购预算30.50万元。具体内容见下表。</w:t>
      </w:r>
    </w:p>
    <w:p>
      <w:pPr>
        <w:jc w:val="center"/>
        <w:outlineLvl w:val="0"/>
        <w:rPr>
          <w:rFonts w:ascii="方正小标宋_GBK" w:hAnsi="Times New Roman" w:eastAsia="方正小标宋_GBK" w:cs="Times New Roman"/>
          <w:sz w:val="32"/>
          <w:szCs w:val="24"/>
          <w:highlight w:val="none"/>
        </w:rPr>
      </w:pPr>
      <w:r>
        <w:rPr>
          <w:rFonts w:hint="eastAsia" w:ascii="方正小标宋_GBK" w:hAnsi="Times New Roman" w:eastAsia="方正小标宋_GBK" w:cs="Times New Roman"/>
          <w:sz w:val="32"/>
          <w:szCs w:val="24"/>
          <w:highlight w:val="none"/>
        </w:rPr>
        <w:t>部门政府采购预算</w:t>
      </w:r>
      <w:bookmarkEnd w:id="1"/>
    </w:p>
    <w:tbl>
      <w:tblPr>
        <w:tblStyle w:val="8"/>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highlight w:val="none"/>
              </w:rPr>
            </w:pPr>
            <w:r>
              <w:rPr>
                <w:rFonts w:hint="eastAsia" w:ascii="方正小标宋_GBK" w:eastAsia="方正小标宋_GBK"/>
                <w:sz w:val="24"/>
                <w:highlight w:val="none"/>
              </w:rPr>
              <w:t>107霸州市信访局</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highlight w:val="none"/>
              </w:rPr>
            </w:pPr>
            <w:r>
              <w:rPr>
                <w:rFonts w:hint="eastAsia" w:ascii="方正书宋_GBK" w:eastAsia="方正书宋_GBK"/>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政府采购项目来源</w:t>
            </w:r>
          </w:p>
        </w:tc>
        <w:tc>
          <w:tcPr>
            <w:tcW w:w="974"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采购物品名称</w:t>
            </w:r>
          </w:p>
        </w:tc>
        <w:tc>
          <w:tcPr>
            <w:tcW w:w="986"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政府采购目录序号</w:t>
            </w:r>
          </w:p>
        </w:tc>
        <w:tc>
          <w:tcPr>
            <w:tcW w:w="760"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数量单位</w:t>
            </w:r>
          </w:p>
        </w:tc>
        <w:tc>
          <w:tcPr>
            <w:tcW w:w="760"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数量</w:t>
            </w:r>
          </w:p>
        </w:tc>
        <w:tc>
          <w:tcPr>
            <w:tcW w:w="848"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单价</w:t>
            </w:r>
          </w:p>
        </w:tc>
        <w:tc>
          <w:tcPr>
            <w:tcW w:w="6693" w:type="dxa"/>
            <w:gridSpan w:val="7"/>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项目名称</w:t>
            </w:r>
          </w:p>
        </w:tc>
        <w:tc>
          <w:tcPr>
            <w:tcW w:w="1099"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预算资金</w:t>
            </w:r>
          </w:p>
        </w:tc>
        <w:tc>
          <w:tcPr>
            <w:tcW w:w="974" w:type="dxa"/>
            <w:vMerge w:val="continue"/>
            <w:shd w:val="clear" w:color="auto" w:fill="auto"/>
            <w:vAlign w:val="center"/>
          </w:tcPr>
          <w:p>
            <w:pPr>
              <w:spacing w:line="300" w:lineRule="exact"/>
              <w:jc w:val="left"/>
              <w:outlineLvl w:val="0"/>
              <w:rPr>
                <w:highlight w:val="none"/>
              </w:rPr>
            </w:pPr>
          </w:p>
        </w:tc>
        <w:tc>
          <w:tcPr>
            <w:tcW w:w="986" w:type="dxa"/>
            <w:vMerge w:val="continue"/>
            <w:shd w:val="clear" w:color="auto" w:fill="auto"/>
            <w:vAlign w:val="center"/>
          </w:tcPr>
          <w:p>
            <w:pPr>
              <w:spacing w:line="300" w:lineRule="exact"/>
              <w:jc w:val="left"/>
              <w:outlineLvl w:val="0"/>
              <w:rPr>
                <w:highlight w:val="none"/>
              </w:rPr>
            </w:pPr>
          </w:p>
        </w:tc>
        <w:tc>
          <w:tcPr>
            <w:tcW w:w="760" w:type="dxa"/>
            <w:vMerge w:val="continue"/>
            <w:shd w:val="clear" w:color="auto" w:fill="auto"/>
            <w:vAlign w:val="center"/>
          </w:tcPr>
          <w:p>
            <w:pPr>
              <w:spacing w:line="300" w:lineRule="exact"/>
              <w:jc w:val="left"/>
              <w:outlineLvl w:val="0"/>
              <w:rPr>
                <w:highlight w:val="none"/>
              </w:rPr>
            </w:pPr>
          </w:p>
        </w:tc>
        <w:tc>
          <w:tcPr>
            <w:tcW w:w="760" w:type="dxa"/>
            <w:vMerge w:val="continue"/>
            <w:shd w:val="clear" w:color="auto" w:fill="auto"/>
            <w:vAlign w:val="center"/>
          </w:tcPr>
          <w:p>
            <w:pPr>
              <w:spacing w:line="300" w:lineRule="exact"/>
              <w:jc w:val="left"/>
              <w:outlineLvl w:val="0"/>
              <w:rPr>
                <w:highlight w:val="none"/>
              </w:rPr>
            </w:pPr>
          </w:p>
        </w:tc>
        <w:tc>
          <w:tcPr>
            <w:tcW w:w="848" w:type="dxa"/>
            <w:vMerge w:val="continue"/>
            <w:shd w:val="clear" w:color="auto" w:fill="auto"/>
            <w:vAlign w:val="center"/>
          </w:tcPr>
          <w:p>
            <w:pPr>
              <w:spacing w:line="300" w:lineRule="exact"/>
              <w:jc w:val="left"/>
              <w:outlineLvl w:val="0"/>
              <w:rPr>
                <w:highlight w:val="none"/>
              </w:rPr>
            </w:pPr>
          </w:p>
        </w:tc>
        <w:tc>
          <w:tcPr>
            <w:tcW w:w="961"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总计</w:t>
            </w:r>
          </w:p>
        </w:tc>
        <w:tc>
          <w:tcPr>
            <w:tcW w:w="4811" w:type="dxa"/>
            <w:gridSpan w:val="5"/>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highlight w:val="none"/>
              </w:rPr>
            </w:pPr>
          </w:p>
        </w:tc>
        <w:tc>
          <w:tcPr>
            <w:tcW w:w="1099" w:type="dxa"/>
            <w:vMerge w:val="continue"/>
            <w:shd w:val="clear" w:color="auto" w:fill="auto"/>
            <w:vAlign w:val="center"/>
          </w:tcPr>
          <w:p>
            <w:pPr>
              <w:spacing w:line="300" w:lineRule="exact"/>
              <w:jc w:val="left"/>
              <w:outlineLvl w:val="0"/>
              <w:rPr>
                <w:highlight w:val="none"/>
              </w:rPr>
            </w:pPr>
          </w:p>
        </w:tc>
        <w:tc>
          <w:tcPr>
            <w:tcW w:w="974" w:type="dxa"/>
            <w:vMerge w:val="continue"/>
            <w:shd w:val="clear" w:color="auto" w:fill="auto"/>
            <w:vAlign w:val="center"/>
          </w:tcPr>
          <w:p>
            <w:pPr>
              <w:spacing w:line="300" w:lineRule="exact"/>
              <w:jc w:val="left"/>
              <w:outlineLvl w:val="0"/>
              <w:rPr>
                <w:highlight w:val="none"/>
              </w:rPr>
            </w:pPr>
          </w:p>
        </w:tc>
        <w:tc>
          <w:tcPr>
            <w:tcW w:w="986" w:type="dxa"/>
            <w:vMerge w:val="continue"/>
            <w:shd w:val="clear" w:color="auto" w:fill="auto"/>
            <w:vAlign w:val="center"/>
          </w:tcPr>
          <w:p>
            <w:pPr>
              <w:spacing w:line="300" w:lineRule="exact"/>
              <w:jc w:val="left"/>
              <w:outlineLvl w:val="0"/>
              <w:rPr>
                <w:highlight w:val="none"/>
              </w:rPr>
            </w:pPr>
          </w:p>
        </w:tc>
        <w:tc>
          <w:tcPr>
            <w:tcW w:w="760" w:type="dxa"/>
            <w:vMerge w:val="continue"/>
            <w:shd w:val="clear" w:color="auto" w:fill="auto"/>
            <w:vAlign w:val="center"/>
          </w:tcPr>
          <w:p>
            <w:pPr>
              <w:spacing w:line="300" w:lineRule="exact"/>
              <w:jc w:val="left"/>
              <w:outlineLvl w:val="0"/>
              <w:rPr>
                <w:highlight w:val="none"/>
              </w:rPr>
            </w:pPr>
          </w:p>
        </w:tc>
        <w:tc>
          <w:tcPr>
            <w:tcW w:w="760" w:type="dxa"/>
            <w:vMerge w:val="continue"/>
            <w:shd w:val="clear" w:color="auto" w:fill="auto"/>
            <w:vAlign w:val="center"/>
          </w:tcPr>
          <w:p>
            <w:pPr>
              <w:spacing w:line="300" w:lineRule="exact"/>
              <w:jc w:val="left"/>
              <w:outlineLvl w:val="0"/>
              <w:rPr>
                <w:highlight w:val="none"/>
              </w:rPr>
            </w:pPr>
          </w:p>
        </w:tc>
        <w:tc>
          <w:tcPr>
            <w:tcW w:w="848" w:type="dxa"/>
            <w:vMerge w:val="continue"/>
            <w:shd w:val="clear" w:color="auto" w:fill="auto"/>
            <w:vAlign w:val="center"/>
          </w:tcPr>
          <w:p>
            <w:pPr>
              <w:spacing w:line="300" w:lineRule="exact"/>
              <w:jc w:val="left"/>
              <w:outlineLvl w:val="0"/>
              <w:rPr>
                <w:highlight w:val="none"/>
              </w:rPr>
            </w:pPr>
          </w:p>
        </w:tc>
        <w:tc>
          <w:tcPr>
            <w:tcW w:w="961" w:type="dxa"/>
            <w:vMerge w:val="continue"/>
            <w:shd w:val="clear" w:color="auto" w:fill="auto"/>
            <w:vAlign w:val="center"/>
          </w:tcPr>
          <w:p>
            <w:pPr>
              <w:spacing w:line="300" w:lineRule="exact"/>
              <w:jc w:val="left"/>
              <w:outlineLvl w:val="0"/>
              <w:rPr>
                <w:highlight w:val="none"/>
              </w:rPr>
            </w:pPr>
          </w:p>
        </w:tc>
        <w:tc>
          <w:tcPr>
            <w:tcW w:w="961"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合计</w:t>
            </w:r>
          </w:p>
        </w:tc>
        <w:tc>
          <w:tcPr>
            <w:tcW w:w="961"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一般公共预算拨款</w:t>
            </w:r>
          </w:p>
        </w:tc>
        <w:tc>
          <w:tcPr>
            <w:tcW w:w="961"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基金预算拨款</w:t>
            </w:r>
          </w:p>
        </w:tc>
        <w:tc>
          <w:tcPr>
            <w:tcW w:w="964"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财政专户核拨</w:t>
            </w:r>
          </w:p>
        </w:tc>
        <w:tc>
          <w:tcPr>
            <w:tcW w:w="964"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其他来源收入</w:t>
            </w:r>
          </w:p>
        </w:tc>
        <w:tc>
          <w:tcPr>
            <w:tcW w:w="921" w:type="dxa"/>
            <w:vMerge w:val="continue"/>
            <w:shd w:val="clear" w:color="auto" w:fill="auto"/>
            <w:vAlign w:val="center"/>
          </w:tcPr>
          <w:p>
            <w:pPr>
              <w:spacing w:line="300" w:lineRule="exact"/>
              <w:jc w:val="left"/>
              <w:outlineLvl w:val="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　计</w:t>
            </w:r>
          </w:p>
        </w:tc>
        <w:tc>
          <w:tcPr>
            <w:tcW w:w="1099" w:type="dxa"/>
            <w:shd w:val="clear" w:color="auto" w:fill="auto"/>
            <w:vAlign w:val="center"/>
          </w:tcPr>
          <w:p>
            <w:pPr>
              <w:spacing w:line="300" w:lineRule="exact"/>
              <w:jc w:val="right"/>
              <w:rPr>
                <w:rFonts w:ascii="方正书宋_GBK" w:eastAsia="方正书宋_GBK"/>
                <w:b/>
                <w:highlight w:val="none"/>
              </w:rPr>
            </w:pPr>
          </w:p>
        </w:tc>
        <w:tc>
          <w:tcPr>
            <w:tcW w:w="974" w:type="dxa"/>
            <w:shd w:val="clear" w:color="auto" w:fill="auto"/>
            <w:vAlign w:val="center"/>
          </w:tcPr>
          <w:p>
            <w:pPr>
              <w:spacing w:line="300" w:lineRule="exact"/>
              <w:jc w:val="left"/>
              <w:rPr>
                <w:rFonts w:ascii="方正书宋_GBK" w:eastAsia="方正书宋_GBK"/>
                <w:b/>
                <w:highlight w:val="none"/>
              </w:rPr>
            </w:pPr>
          </w:p>
        </w:tc>
        <w:tc>
          <w:tcPr>
            <w:tcW w:w="986" w:type="dxa"/>
            <w:shd w:val="clear" w:color="auto" w:fill="auto"/>
            <w:vAlign w:val="center"/>
          </w:tcPr>
          <w:p>
            <w:pPr>
              <w:spacing w:line="300" w:lineRule="exact"/>
              <w:jc w:val="left"/>
              <w:rPr>
                <w:rFonts w:ascii="方正书宋_GBK" w:eastAsia="方正书宋_GBK"/>
                <w:b/>
                <w:highlight w:val="none"/>
              </w:rPr>
            </w:pPr>
          </w:p>
        </w:tc>
        <w:tc>
          <w:tcPr>
            <w:tcW w:w="760" w:type="dxa"/>
            <w:shd w:val="clear" w:color="auto" w:fill="auto"/>
            <w:vAlign w:val="center"/>
          </w:tcPr>
          <w:p>
            <w:pPr>
              <w:spacing w:line="300" w:lineRule="exact"/>
              <w:jc w:val="left"/>
              <w:rPr>
                <w:rFonts w:ascii="方正书宋_GBK" w:eastAsia="方正书宋_GBK"/>
                <w:b/>
                <w:highlight w:val="none"/>
              </w:rPr>
            </w:pPr>
          </w:p>
        </w:tc>
        <w:tc>
          <w:tcPr>
            <w:tcW w:w="760" w:type="dxa"/>
            <w:shd w:val="clear" w:color="auto" w:fill="auto"/>
            <w:vAlign w:val="center"/>
          </w:tcPr>
          <w:p>
            <w:pPr>
              <w:spacing w:line="300" w:lineRule="exact"/>
              <w:jc w:val="right"/>
              <w:rPr>
                <w:rFonts w:ascii="方正书宋_GBK" w:eastAsia="方正书宋_GBK"/>
                <w:b/>
                <w:highlight w:val="none"/>
              </w:rPr>
            </w:pPr>
          </w:p>
        </w:tc>
        <w:tc>
          <w:tcPr>
            <w:tcW w:w="848" w:type="dxa"/>
            <w:shd w:val="clear" w:color="auto" w:fill="auto"/>
            <w:vAlign w:val="center"/>
          </w:tcPr>
          <w:p>
            <w:pPr>
              <w:spacing w:line="300" w:lineRule="exact"/>
              <w:jc w:val="right"/>
              <w:rPr>
                <w:rFonts w:ascii="方正书宋_GBK" w:eastAsia="方正书宋_GBK"/>
                <w:b/>
                <w:highlight w:val="none"/>
              </w:rPr>
            </w:pPr>
          </w:p>
        </w:tc>
        <w:tc>
          <w:tcPr>
            <w:tcW w:w="961" w:type="dxa"/>
            <w:shd w:val="clear" w:color="auto" w:fill="auto"/>
            <w:vAlign w:val="center"/>
          </w:tcPr>
          <w:p>
            <w:pPr>
              <w:spacing w:line="300" w:lineRule="exact"/>
              <w:jc w:val="right"/>
              <w:rPr>
                <w:rFonts w:ascii="方正书宋_GBK" w:eastAsia="方正书宋_GBK"/>
                <w:b/>
                <w:highlight w:val="none"/>
              </w:rPr>
            </w:pPr>
            <w:r>
              <w:rPr>
                <w:rFonts w:ascii="方正书宋_GBK" w:eastAsia="方正书宋_GBK"/>
                <w:b/>
                <w:highlight w:val="none"/>
              </w:rPr>
              <w:t>30.50</w:t>
            </w:r>
          </w:p>
        </w:tc>
        <w:tc>
          <w:tcPr>
            <w:tcW w:w="961" w:type="dxa"/>
            <w:shd w:val="clear" w:color="auto" w:fill="auto"/>
            <w:vAlign w:val="center"/>
          </w:tcPr>
          <w:p>
            <w:pPr>
              <w:spacing w:line="300" w:lineRule="exact"/>
              <w:jc w:val="right"/>
              <w:rPr>
                <w:rFonts w:ascii="方正书宋_GBK" w:eastAsia="方正书宋_GBK"/>
                <w:b/>
                <w:highlight w:val="none"/>
              </w:rPr>
            </w:pPr>
            <w:r>
              <w:rPr>
                <w:rFonts w:ascii="方正书宋_GBK" w:eastAsia="方正书宋_GBK"/>
                <w:b/>
                <w:highlight w:val="none"/>
              </w:rPr>
              <w:t>30.50</w:t>
            </w:r>
          </w:p>
        </w:tc>
        <w:tc>
          <w:tcPr>
            <w:tcW w:w="961" w:type="dxa"/>
            <w:shd w:val="clear" w:color="auto" w:fill="auto"/>
            <w:vAlign w:val="center"/>
          </w:tcPr>
          <w:p>
            <w:pPr>
              <w:spacing w:line="300" w:lineRule="exact"/>
              <w:jc w:val="right"/>
              <w:rPr>
                <w:rFonts w:ascii="方正书宋_GBK" w:eastAsia="方正书宋_GBK"/>
                <w:b/>
                <w:highlight w:val="none"/>
              </w:rPr>
            </w:pPr>
            <w:r>
              <w:rPr>
                <w:rFonts w:ascii="方正书宋_GBK" w:eastAsia="方正书宋_GBK"/>
                <w:b/>
                <w:highlight w:val="none"/>
              </w:rPr>
              <w:t>30.50</w:t>
            </w:r>
          </w:p>
        </w:tc>
        <w:tc>
          <w:tcPr>
            <w:tcW w:w="961" w:type="dxa"/>
            <w:shd w:val="clear" w:color="auto" w:fill="auto"/>
            <w:vAlign w:val="center"/>
          </w:tcPr>
          <w:p>
            <w:pPr>
              <w:spacing w:line="300" w:lineRule="exact"/>
              <w:jc w:val="right"/>
              <w:rPr>
                <w:rFonts w:ascii="方正书宋_GBK" w:eastAsia="方正书宋_GBK"/>
                <w:b/>
                <w:highlight w:val="none"/>
              </w:rPr>
            </w:pPr>
          </w:p>
        </w:tc>
        <w:tc>
          <w:tcPr>
            <w:tcW w:w="964" w:type="dxa"/>
            <w:shd w:val="clear" w:color="auto" w:fill="auto"/>
            <w:vAlign w:val="center"/>
          </w:tcPr>
          <w:p>
            <w:pPr>
              <w:spacing w:line="300" w:lineRule="exact"/>
              <w:jc w:val="right"/>
              <w:rPr>
                <w:rFonts w:ascii="方正书宋_GBK" w:eastAsia="方正书宋_GBK"/>
                <w:b/>
                <w:highlight w:val="none"/>
              </w:rPr>
            </w:pPr>
          </w:p>
        </w:tc>
        <w:tc>
          <w:tcPr>
            <w:tcW w:w="964" w:type="dxa"/>
            <w:shd w:val="clear" w:color="auto" w:fill="auto"/>
            <w:vAlign w:val="center"/>
          </w:tcPr>
          <w:p>
            <w:pPr>
              <w:spacing w:line="300" w:lineRule="exact"/>
              <w:jc w:val="right"/>
              <w:rPr>
                <w:rFonts w:ascii="方正书宋_GBK" w:eastAsia="方正书宋_GBK"/>
                <w:b/>
                <w:highlight w:val="none"/>
              </w:rPr>
            </w:pPr>
          </w:p>
        </w:tc>
        <w:tc>
          <w:tcPr>
            <w:tcW w:w="921"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霸州市信访局小计</w:t>
            </w:r>
          </w:p>
        </w:tc>
        <w:tc>
          <w:tcPr>
            <w:tcW w:w="1099" w:type="dxa"/>
            <w:shd w:val="clear" w:color="auto" w:fill="auto"/>
            <w:vAlign w:val="center"/>
          </w:tcPr>
          <w:p>
            <w:pPr>
              <w:spacing w:line="300" w:lineRule="exact"/>
              <w:jc w:val="right"/>
              <w:rPr>
                <w:rFonts w:ascii="方正书宋_GBK" w:eastAsia="方正书宋_GBK"/>
                <w:b/>
                <w:highlight w:val="none"/>
              </w:rPr>
            </w:pPr>
          </w:p>
        </w:tc>
        <w:tc>
          <w:tcPr>
            <w:tcW w:w="974" w:type="dxa"/>
            <w:shd w:val="clear" w:color="auto" w:fill="auto"/>
            <w:vAlign w:val="center"/>
          </w:tcPr>
          <w:p>
            <w:pPr>
              <w:spacing w:line="300" w:lineRule="exact"/>
              <w:jc w:val="left"/>
              <w:rPr>
                <w:rFonts w:ascii="方正书宋_GBK" w:eastAsia="方正书宋_GBK"/>
                <w:b/>
                <w:highlight w:val="none"/>
              </w:rPr>
            </w:pPr>
          </w:p>
        </w:tc>
        <w:tc>
          <w:tcPr>
            <w:tcW w:w="986" w:type="dxa"/>
            <w:shd w:val="clear" w:color="auto" w:fill="auto"/>
            <w:vAlign w:val="center"/>
          </w:tcPr>
          <w:p>
            <w:pPr>
              <w:spacing w:line="300" w:lineRule="exact"/>
              <w:jc w:val="left"/>
              <w:rPr>
                <w:rFonts w:ascii="方正书宋_GBK" w:eastAsia="方正书宋_GBK"/>
                <w:b/>
                <w:highlight w:val="none"/>
              </w:rPr>
            </w:pPr>
          </w:p>
        </w:tc>
        <w:tc>
          <w:tcPr>
            <w:tcW w:w="760" w:type="dxa"/>
            <w:shd w:val="clear" w:color="auto" w:fill="auto"/>
            <w:vAlign w:val="center"/>
          </w:tcPr>
          <w:p>
            <w:pPr>
              <w:spacing w:line="300" w:lineRule="exact"/>
              <w:jc w:val="left"/>
              <w:rPr>
                <w:rFonts w:ascii="方正书宋_GBK" w:eastAsia="方正书宋_GBK"/>
                <w:b/>
                <w:highlight w:val="none"/>
              </w:rPr>
            </w:pPr>
          </w:p>
        </w:tc>
        <w:tc>
          <w:tcPr>
            <w:tcW w:w="760" w:type="dxa"/>
            <w:shd w:val="clear" w:color="auto" w:fill="auto"/>
            <w:vAlign w:val="center"/>
          </w:tcPr>
          <w:p>
            <w:pPr>
              <w:spacing w:line="300" w:lineRule="exact"/>
              <w:jc w:val="right"/>
              <w:rPr>
                <w:rFonts w:ascii="方正书宋_GBK" w:eastAsia="方正书宋_GBK"/>
                <w:b/>
                <w:highlight w:val="none"/>
              </w:rPr>
            </w:pPr>
          </w:p>
        </w:tc>
        <w:tc>
          <w:tcPr>
            <w:tcW w:w="848" w:type="dxa"/>
            <w:shd w:val="clear" w:color="auto" w:fill="auto"/>
            <w:vAlign w:val="center"/>
          </w:tcPr>
          <w:p>
            <w:pPr>
              <w:spacing w:line="300" w:lineRule="exact"/>
              <w:jc w:val="right"/>
              <w:rPr>
                <w:rFonts w:ascii="方正书宋_GBK" w:eastAsia="方正书宋_GBK"/>
                <w:b/>
                <w:highlight w:val="none"/>
              </w:rPr>
            </w:pPr>
          </w:p>
        </w:tc>
        <w:tc>
          <w:tcPr>
            <w:tcW w:w="961" w:type="dxa"/>
            <w:shd w:val="clear" w:color="auto" w:fill="auto"/>
            <w:vAlign w:val="center"/>
          </w:tcPr>
          <w:p>
            <w:pPr>
              <w:spacing w:line="300" w:lineRule="exact"/>
              <w:jc w:val="right"/>
              <w:rPr>
                <w:rFonts w:ascii="方正书宋_GBK" w:eastAsia="方正书宋_GBK"/>
                <w:b/>
                <w:highlight w:val="none"/>
              </w:rPr>
            </w:pPr>
            <w:r>
              <w:rPr>
                <w:rFonts w:ascii="方正书宋_GBK" w:eastAsia="方正书宋_GBK"/>
                <w:b/>
                <w:highlight w:val="none"/>
              </w:rPr>
              <w:t>30.50</w:t>
            </w:r>
          </w:p>
        </w:tc>
        <w:tc>
          <w:tcPr>
            <w:tcW w:w="961" w:type="dxa"/>
            <w:shd w:val="clear" w:color="auto" w:fill="auto"/>
            <w:vAlign w:val="center"/>
          </w:tcPr>
          <w:p>
            <w:pPr>
              <w:spacing w:line="300" w:lineRule="exact"/>
              <w:jc w:val="right"/>
              <w:rPr>
                <w:rFonts w:ascii="方正书宋_GBK" w:eastAsia="方正书宋_GBK"/>
                <w:b/>
                <w:highlight w:val="none"/>
              </w:rPr>
            </w:pPr>
            <w:r>
              <w:rPr>
                <w:rFonts w:ascii="方正书宋_GBK" w:eastAsia="方正书宋_GBK"/>
                <w:b/>
                <w:highlight w:val="none"/>
              </w:rPr>
              <w:t>30.50</w:t>
            </w:r>
          </w:p>
        </w:tc>
        <w:tc>
          <w:tcPr>
            <w:tcW w:w="961" w:type="dxa"/>
            <w:shd w:val="clear" w:color="auto" w:fill="auto"/>
            <w:vAlign w:val="center"/>
          </w:tcPr>
          <w:p>
            <w:pPr>
              <w:spacing w:line="300" w:lineRule="exact"/>
              <w:jc w:val="right"/>
              <w:rPr>
                <w:rFonts w:ascii="方正书宋_GBK" w:eastAsia="方正书宋_GBK"/>
                <w:b/>
                <w:highlight w:val="none"/>
              </w:rPr>
            </w:pPr>
            <w:r>
              <w:rPr>
                <w:rFonts w:ascii="方正书宋_GBK" w:eastAsia="方正书宋_GBK"/>
                <w:b/>
                <w:highlight w:val="none"/>
              </w:rPr>
              <w:t>30.50</w:t>
            </w:r>
          </w:p>
        </w:tc>
        <w:tc>
          <w:tcPr>
            <w:tcW w:w="961" w:type="dxa"/>
            <w:shd w:val="clear" w:color="auto" w:fill="auto"/>
            <w:vAlign w:val="center"/>
          </w:tcPr>
          <w:p>
            <w:pPr>
              <w:spacing w:line="300" w:lineRule="exact"/>
              <w:jc w:val="right"/>
              <w:rPr>
                <w:rFonts w:ascii="方正书宋_GBK" w:eastAsia="方正书宋_GBK"/>
                <w:b/>
                <w:highlight w:val="none"/>
              </w:rPr>
            </w:pPr>
          </w:p>
        </w:tc>
        <w:tc>
          <w:tcPr>
            <w:tcW w:w="964" w:type="dxa"/>
            <w:shd w:val="clear" w:color="auto" w:fill="auto"/>
            <w:vAlign w:val="center"/>
          </w:tcPr>
          <w:p>
            <w:pPr>
              <w:spacing w:line="300" w:lineRule="exact"/>
              <w:jc w:val="right"/>
              <w:rPr>
                <w:rFonts w:ascii="方正书宋_GBK" w:eastAsia="方正书宋_GBK"/>
                <w:b/>
                <w:highlight w:val="none"/>
              </w:rPr>
            </w:pPr>
          </w:p>
        </w:tc>
        <w:tc>
          <w:tcPr>
            <w:tcW w:w="964" w:type="dxa"/>
            <w:shd w:val="clear" w:color="auto" w:fill="auto"/>
            <w:vAlign w:val="center"/>
          </w:tcPr>
          <w:p>
            <w:pPr>
              <w:spacing w:line="300" w:lineRule="exact"/>
              <w:jc w:val="right"/>
              <w:rPr>
                <w:rFonts w:ascii="方正书宋_GBK" w:eastAsia="方正书宋_GBK"/>
                <w:b/>
                <w:highlight w:val="none"/>
              </w:rPr>
            </w:pPr>
          </w:p>
        </w:tc>
        <w:tc>
          <w:tcPr>
            <w:tcW w:w="921"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群众工作中心运行经费</w:t>
            </w:r>
          </w:p>
        </w:tc>
        <w:tc>
          <w:tcPr>
            <w:tcW w:w="1099" w:type="dxa"/>
            <w:shd w:val="clear" w:color="auto" w:fill="auto"/>
            <w:vAlign w:val="center"/>
          </w:tcPr>
          <w:p>
            <w:pPr>
              <w:spacing w:line="300" w:lineRule="exact"/>
              <w:jc w:val="right"/>
              <w:rPr>
                <w:rFonts w:ascii="方正书宋_GBK" w:eastAsia="方正书宋_GBK"/>
                <w:highlight w:val="none"/>
              </w:rPr>
            </w:pPr>
            <w:r>
              <w:rPr>
                <w:rFonts w:ascii="方正书宋_GBK" w:eastAsia="方正书宋_GBK"/>
                <w:highlight w:val="none"/>
              </w:rPr>
              <w:t>49.00</w:t>
            </w:r>
          </w:p>
        </w:tc>
        <w:tc>
          <w:tcPr>
            <w:tcW w:w="974" w:type="dxa"/>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其他服务</w:t>
            </w:r>
          </w:p>
        </w:tc>
        <w:tc>
          <w:tcPr>
            <w:tcW w:w="986" w:type="dxa"/>
            <w:shd w:val="clear" w:color="auto" w:fill="auto"/>
            <w:vAlign w:val="center"/>
          </w:tcPr>
          <w:p>
            <w:pPr>
              <w:spacing w:line="300" w:lineRule="exact"/>
              <w:jc w:val="left"/>
              <w:rPr>
                <w:rFonts w:ascii="方正书宋_GBK" w:eastAsia="方正书宋_GBK"/>
                <w:highlight w:val="none"/>
              </w:rPr>
            </w:pPr>
            <w:r>
              <w:rPr>
                <w:rFonts w:ascii="方正书宋_GBK" w:eastAsia="方正书宋_GBK"/>
                <w:highlight w:val="none"/>
              </w:rPr>
              <w:t>C99</w:t>
            </w:r>
          </w:p>
        </w:tc>
        <w:tc>
          <w:tcPr>
            <w:tcW w:w="760" w:type="dxa"/>
            <w:shd w:val="clear" w:color="auto" w:fill="auto"/>
            <w:vAlign w:val="center"/>
          </w:tcPr>
          <w:p>
            <w:pPr>
              <w:spacing w:line="300" w:lineRule="exact"/>
              <w:jc w:val="left"/>
              <w:rPr>
                <w:rFonts w:ascii="方正书宋_GBK" w:eastAsia="方正书宋_GBK"/>
                <w:highlight w:val="none"/>
              </w:rPr>
            </w:pPr>
          </w:p>
        </w:tc>
        <w:tc>
          <w:tcPr>
            <w:tcW w:w="760" w:type="dxa"/>
            <w:shd w:val="clear" w:color="auto" w:fill="auto"/>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8" w:type="dxa"/>
            <w:shd w:val="clear" w:color="auto" w:fill="auto"/>
            <w:vAlign w:val="center"/>
          </w:tcPr>
          <w:p>
            <w:pPr>
              <w:spacing w:line="300" w:lineRule="exact"/>
              <w:jc w:val="right"/>
              <w:rPr>
                <w:rFonts w:ascii="方正书宋_GBK" w:eastAsia="方正书宋_GBK"/>
                <w:highlight w:val="none"/>
              </w:rPr>
            </w:pPr>
            <w:r>
              <w:rPr>
                <w:rFonts w:ascii="方正书宋_GBK" w:eastAsia="方正书宋_GBK"/>
                <w:highlight w:val="none"/>
              </w:rPr>
              <w:t>30.50</w:t>
            </w:r>
          </w:p>
        </w:tc>
        <w:tc>
          <w:tcPr>
            <w:tcW w:w="961" w:type="dxa"/>
            <w:shd w:val="clear" w:color="auto" w:fill="auto"/>
            <w:vAlign w:val="center"/>
          </w:tcPr>
          <w:p>
            <w:pPr>
              <w:spacing w:line="300" w:lineRule="exact"/>
              <w:jc w:val="right"/>
              <w:rPr>
                <w:rFonts w:ascii="方正书宋_GBK" w:eastAsia="方正书宋_GBK"/>
                <w:highlight w:val="none"/>
              </w:rPr>
            </w:pPr>
            <w:r>
              <w:rPr>
                <w:rFonts w:ascii="方正书宋_GBK" w:eastAsia="方正书宋_GBK"/>
                <w:highlight w:val="none"/>
              </w:rPr>
              <w:t>30.50</w:t>
            </w:r>
          </w:p>
        </w:tc>
        <w:tc>
          <w:tcPr>
            <w:tcW w:w="961" w:type="dxa"/>
            <w:shd w:val="clear" w:color="auto" w:fill="auto"/>
            <w:vAlign w:val="center"/>
          </w:tcPr>
          <w:p>
            <w:pPr>
              <w:spacing w:line="300" w:lineRule="exact"/>
              <w:jc w:val="right"/>
              <w:rPr>
                <w:rFonts w:ascii="方正书宋_GBK" w:eastAsia="方正书宋_GBK"/>
                <w:highlight w:val="none"/>
              </w:rPr>
            </w:pPr>
            <w:r>
              <w:rPr>
                <w:rFonts w:ascii="方正书宋_GBK" w:eastAsia="方正书宋_GBK"/>
                <w:highlight w:val="none"/>
              </w:rPr>
              <w:t>30.50</w:t>
            </w:r>
          </w:p>
        </w:tc>
        <w:tc>
          <w:tcPr>
            <w:tcW w:w="961" w:type="dxa"/>
            <w:shd w:val="clear" w:color="auto" w:fill="auto"/>
            <w:vAlign w:val="center"/>
          </w:tcPr>
          <w:p>
            <w:pPr>
              <w:spacing w:line="300" w:lineRule="exact"/>
              <w:jc w:val="right"/>
              <w:rPr>
                <w:rFonts w:ascii="方正书宋_GBK" w:eastAsia="方正书宋_GBK"/>
                <w:highlight w:val="none"/>
              </w:rPr>
            </w:pPr>
            <w:r>
              <w:rPr>
                <w:rFonts w:ascii="方正书宋_GBK" w:eastAsia="方正书宋_GBK"/>
                <w:highlight w:val="none"/>
              </w:rPr>
              <w:t>30.50</w:t>
            </w:r>
          </w:p>
        </w:tc>
        <w:tc>
          <w:tcPr>
            <w:tcW w:w="961" w:type="dxa"/>
            <w:shd w:val="clear" w:color="auto" w:fill="auto"/>
            <w:vAlign w:val="center"/>
          </w:tcPr>
          <w:p>
            <w:pPr>
              <w:spacing w:line="300" w:lineRule="exact"/>
              <w:jc w:val="right"/>
              <w:rPr>
                <w:rFonts w:ascii="方正书宋_GBK" w:eastAsia="方正书宋_GBK"/>
                <w:highlight w:val="none"/>
              </w:rPr>
            </w:pPr>
          </w:p>
        </w:tc>
        <w:tc>
          <w:tcPr>
            <w:tcW w:w="964" w:type="dxa"/>
            <w:shd w:val="clear" w:color="auto" w:fill="auto"/>
            <w:vAlign w:val="center"/>
          </w:tcPr>
          <w:p>
            <w:pPr>
              <w:spacing w:line="300" w:lineRule="exact"/>
              <w:jc w:val="right"/>
              <w:rPr>
                <w:rFonts w:ascii="方正书宋_GBK" w:eastAsia="方正书宋_GBK"/>
                <w:highlight w:val="none"/>
              </w:rPr>
            </w:pPr>
          </w:p>
        </w:tc>
        <w:tc>
          <w:tcPr>
            <w:tcW w:w="964" w:type="dxa"/>
            <w:shd w:val="clear" w:color="auto" w:fill="auto"/>
            <w:vAlign w:val="center"/>
          </w:tcPr>
          <w:p>
            <w:pPr>
              <w:spacing w:line="300" w:lineRule="exact"/>
              <w:jc w:val="right"/>
              <w:rPr>
                <w:rFonts w:ascii="方正书宋_GBK" w:eastAsia="方正书宋_GBK"/>
                <w:highlight w:val="none"/>
              </w:rPr>
            </w:pPr>
          </w:p>
        </w:tc>
        <w:tc>
          <w:tcPr>
            <w:tcW w:w="921" w:type="dxa"/>
            <w:shd w:val="clear" w:color="auto" w:fill="auto"/>
            <w:vAlign w:val="center"/>
          </w:tcPr>
          <w:p>
            <w:pPr>
              <w:spacing w:line="300" w:lineRule="exact"/>
              <w:jc w:val="right"/>
              <w:rPr>
                <w:rFonts w:ascii="方正书宋_GBK" w:eastAsia="方正书宋_GBK"/>
                <w:highlight w:val="none"/>
              </w:rPr>
            </w:pP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七、国有资产信息</w:t>
      </w:r>
    </w:p>
    <w:p>
      <w:pPr>
        <w:ind w:firstLine="640" w:firstLineChars="200"/>
        <w:rPr>
          <w:rFonts w:ascii="仿宋_GB2312" w:hAnsi="Times New Roman" w:eastAsia="仿宋_GB2312" w:cs="Times New Roman"/>
          <w:sz w:val="32"/>
          <w:szCs w:val="32"/>
          <w:highlight w:val="none"/>
        </w:rPr>
      </w:pPr>
      <w:r>
        <w:rPr>
          <w:rFonts w:hint="eastAsia" w:ascii="仿宋_GB2312" w:hAnsi="黑体" w:eastAsia="仿宋_GB2312" w:cs="Times New Roman"/>
          <w:sz w:val="32"/>
          <w:szCs w:val="32"/>
          <w:highlight w:val="none"/>
        </w:rPr>
        <w:t>霸州市信访局上年末固定资产金额为606.87万元（详见下表）。</w:t>
      </w:r>
      <w:r>
        <w:rPr>
          <w:rFonts w:ascii="仿宋_GB2312" w:hAnsi="黑体" w:eastAsia="仿宋_GB2312" w:cs="Times New Roman"/>
          <w:sz w:val="32"/>
          <w:szCs w:val="32"/>
          <w:highlight w:val="none"/>
        </w:rPr>
        <w:t>2018</w:t>
      </w:r>
      <w:r>
        <w:rPr>
          <w:rFonts w:hint="eastAsia" w:ascii="仿宋_GB2312" w:hAnsi="黑体" w:eastAsia="仿宋_GB2312" w:cs="Times New Roman"/>
          <w:sz w:val="32"/>
          <w:szCs w:val="32"/>
          <w:highlight w:val="none"/>
        </w:rPr>
        <w:t>年</w:t>
      </w:r>
      <w:r>
        <w:rPr>
          <w:rFonts w:ascii="仿宋_GB2312" w:hAnsi="黑体" w:eastAsia="仿宋_GB2312" w:cs="Times New Roman"/>
          <w:sz w:val="32"/>
          <w:szCs w:val="32"/>
          <w:highlight w:val="none"/>
        </w:rPr>
        <w:t>，我部门无新增固定资产计划</w:t>
      </w:r>
      <w:r>
        <w:rPr>
          <w:rFonts w:hint="eastAsia" w:ascii="仿宋_GB2312" w:hAnsi="黑体" w:eastAsia="仿宋_GB2312" w:cs="Times New Roman"/>
          <w:sz w:val="32"/>
          <w:szCs w:val="32"/>
          <w:highlight w:val="none"/>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highlight w:val="none"/>
              </w:rPr>
            </w:pPr>
          </w:p>
          <w:p>
            <w:pPr>
              <w:widowControl/>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霸州市信访局部门固定资产占用情况表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编制部门：107霸州市信访局</w:t>
            </w:r>
          </w:p>
        </w:tc>
        <w:tc>
          <w:tcPr>
            <w:tcW w:w="5103" w:type="dxa"/>
            <w:tcBorders>
              <w:top w:val="nil"/>
              <w:left w:val="nil"/>
              <w:bottom w:val="nil"/>
              <w:right w:val="nil"/>
            </w:tcBorders>
            <w:shd w:val="clear" w:color="auto" w:fill="auto"/>
            <w:vAlign w:val="center"/>
          </w:tcPr>
          <w:p>
            <w:pPr>
              <w:widowControl/>
              <w:ind w:firstLine="1650" w:firstLineChars="750"/>
              <w:jc w:val="left"/>
              <w:rPr>
                <w:rFonts w:ascii="宋体" w:hAnsi="宋体" w:eastAsia="宋体" w:cs="宋体"/>
                <w:kern w:val="0"/>
                <w:sz w:val="22"/>
                <w:highlight w:val="none"/>
              </w:rPr>
            </w:pPr>
            <w:r>
              <w:rPr>
                <w:rFonts w:hint="eastAsia" w:ascii="宋体" w:hAnsi="宋体" w:eastAsia="宋体" w:cs="宋体"/>
                <w:kern w:val="0"/>
                <w:sz w:val="22"/>
                <w:highlight w:val="none"/>
              </w:rPr>
              <w:t xml:space="preserve">截止时间：2017年12月31日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606.87</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1511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377.75</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17.98</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211.14</w:t>
            </w: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八、名词解释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6、上缴上级支出：指下级单位上缴上级的支出。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九、其它需要说明的事项</w:t>
      </w:r>
    </w:p>
    <w:p>
      <w:pPr>
        <w:ind w:firstLine="640"/>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无其它需要说明的事项。</w:t>
      </w:r>
    </w:p>
    <w:bookmarkEnd w:id="2"/>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20</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390A"/>
    <w:rsid w:val="001353FD"/>
    <w:rsid w:val="001433DA"/>
    <w:rsid w:val="00152A3B"/>
    <w:rsid w:val="00162841"/>
    <w:rsid w:val="00165677"/>
    <w:rsid w:val="00170039"/>
    <w:rsid w:val="00182438"/>
    <w:rsid w:val="0018479D"/>
    <w:rsid w:val="00184A96"/>
    <w:rsid w:val="001901C9"/>
    <w:rsid w:val="00194FDE"/>
    <w:rsid w:val="001962EB"/>
    <w:rsid w:val="001A210E"/>
    <w:rsid w:val="001A56DE"/>
    <w:rsid w:val="001A69C1"/>
    <w:rsid w:val="001C0A14"/>
    <w:rsid w:val="001C1C6C"/>
    <w:rsid w:val="001D53B8"/>
    <w:rsid w:val="001D7844"/>
    <w:rsid w:val="001E5626"/>
    <w:rsid w:val="001E61DC"/>
    <w:rsid w:val="001E6E68"/>
    <w:rsid w:val="00204C18"/>
    <w:rsid w:val="00211AD5"/>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E0A4A"/>
    <w:rsid w:val="002E59A8"/>
    <w:rsid w:val="002E5A52"/>
    <w:rsid w:val="002F3E58"/>
    <w:rsid w:val="002F5A42"/>
    <w:rsid w:val="002F716D"/>
    <w:rsid w:val="0030542C"/>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23AFD"/>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34DF"/>
    <w:rsid w:val="00A44217"/>
    <w:rsid w:val="00A4589C"/>
    <w:rsid w:val="00A47939"/>
    <w:rsid w:val="00A53E17"/>
    <w:rsid w:val="00A5507A"/>
    <w:rsid w:val="00A61399"/>
    <w:rsid w:val="00A63DE8"/>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C681B"/>
    <w:rsid w:val="00BC7D9A"/>
    <w:rsid w:val="00BD16FC"/>
    <w:rsid w:val="00BD3858"/>
    <w:rsid w:val="00BD390C"/>
    <w:rsid w:val="00BE083B"/>
    <w:rsid w:val="00BE4858"/>
    <w:rsid w:val="00BF7510"/>
    <w:rsid w:val="00C0018A"/>
    <w:rsid w:val="00C01825"/>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968F7"/>
    <w:rsid w:val="00CA7176"/>
    <w:rsid w:val="00CA7C24"/>
    <w:rsid w:val="00CD0702"/>
    <w:rsid w:val="00CD1590"/>
    <w:rsid w:val="00CD2773"/>
    <w:rsid w:val="00CE0CDC"/>
    <w:rsid w:val="00CE143B"/>
    <w:rsid w:val="00CE2392"/>
    <w:rsid w:val="00CE6B7C"/>
    <w:rsid w:val="00CF1F56"/>
    <w:rsid w:val="00D013EB"/>
    <w:rsid w:val="00D02B3A"/>
    <w:rsid w:val="00D03C5F"/>
    <w:rsid w:val="00D121F0"/>
    <w:rsid w:val="00D15E78"/>
    <w:rsid w:val="00D1772A"/>
    <w:rsid w:val="00D231A7"/>
    <w:rsid w:val="00D260D2"/>
    <w:rsid w:val="00D4269E"/>
    <w:rsid w:val="00D45811"/>
    <w:rsid w:val="00D46C97"/>
    <w:rsid w:val="00D47E19"/>
    <w:rsid w:val="00D523E9"/>
    <w:rsid w:val="00D528F5"/>
    <w:rsid w:val="00D559AC"/>
    <w:rsid w:val="00D57A83"/>
    <w:rsid w:val="00D63054"/>
    <w:rsid w:val="00D71ECE"/>
    <w:rsid w:val="00D75B58"/>
    <w:rsid w:val="00D81AE5"/>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3DE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32569"/>
    <w:rsid w:val="00F417E3"/>
    <w:rsid w:val="00F4182E"/>
    <w:rsid w:val="00F51920"/>
    <w:rsid w:val="00F5306C"/>
    <w:rsid w:val="00F57F4F"/>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E25D5"/>
    <w:rsid w:val="00FE2A35"/>
    <w:rsid w:val="00FF0EC6"/>
    <w:rsid w:val="00FF3F1E"/>
    <w:rsid w:val="00FF4B95"/>
    <w:rsid w:val="11E97DC0"/>
    <w:rsid w:val="25F37196"/>
    <w:rsid w:val="2E3B3B39"/>
    <w:rsid w:val="4B3646EA"/>
    <w:rsid w:val="526C35BB"/>
    <w:rsid w:val="55206B66"/>
    <w:rsid w:val="796C4DD6"/>
    <w:rsid w:val="7DB47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Char"/>
    <w:basedOn w:val="7"/>
    <w:link w:val="4"/>
    <w:qFormat/>
    <w:uiPriority w:val="0"/>
    <w:rPr>
      <w:rFonts w:ascii="Times New Roman" w:hAnsi="Times New Roman" w:eastAsia="宋体" w:cs="Times New Roman"/>
      <w:sz w:val="18"/>
      <w:szCs w:val="18"/>
    </w:rPr>
  </w:style>
  <w:style w:type="character" w:customStyle="1" w:styleId="10">
    <w:name w:val="页脚 Char"/>
    <w:basedOn w:val="7"/>
    <w:link w:val="3"/>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EB052-947A-45B7-ABBB-90C259C671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993</Words>
  <Characters>5665</Characters>
  <Lines>47</Lines>
  <Paragraphs>13</Paragraphs>
  <TotalTime>2</TotalTime>
  <ScaleCrop>false</ScaleCrop>
  <LinksUpToDate>false</LinksUpToDate>
  <CharactersWithSpaces>6645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无心之言*</cp:lastModifiedBy>
  <cp:lastPrinted>2018-02-28T01:51:00Z</cp:lastPrinted>
  <dcterms:modified xsi:type="dcterms:W3CDTF">2019-01-20T14:36:21Z</dcterms:modified>
  <cp:revision>1366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