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DA" w:rsidRDefault="003C7427">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霸州市行政</w:t>
      </w:r>
      <w:proofErr w:type="gramStart"/>
      <w:r>
        <w:rPr>
          <w:rFonts w:ascii="方正小标宋简体" w:eastAsia="方正小标宋简体" w:hAnsi="方正小标宋简体" w:cs="方正小标宋简体" w:hint="eastAsia"/>
          <w:sz w:val="44"/>
          <w:szCs w:val="44"/>
        </w:rPr>
        <w:t>审批局</w:t>
      </w:r>
      <w:proofErr w:type="gramEnd"/>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年部门预算信息公开</w:t>
      </w:r>
    </w:p>
    <w:p w:rsidR="00CF22DA" w:rsidRDefault="003C7427">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按照《预算法》、《地方预决算公开操作规程》和《河北省省级预算公开办法》规定，现将霸州市行政</w:t>
      </w:r>
      <w:proofErr w:type="gramStart"/>
      <w:r>
        <w:rPr>
          <w:rFonts w:ascii="仿宋" w:eastAsia="仿宋" w:hAnsi="仿宋" w:cs="仿宋" w:hint="eastAsia"/>
          <w:sz w:val="32"/>
          <w:szCs w:val="32"/>
        </w:rPr>
        <w:t>审批局</w:t>
      </w:r>
      <w:proofErr w:type="gramEnd"/>
      <w:r>
        <w:rPr>
          <w:rFonts w:ascii="仿宋" w:eastAsia="仿宋" w:hAnsi="仿宋" w:cs="仿宋"/>
          <w:sz w:val="32"/>
          <w:szCs w:val="32"/>
        </w:rPr>
        <w:t>2018</w:t>
      </w:r>
      <w:r>
        <w:rPr>
          <w:rFonts w:ascii="仿宋" w:eastAsia="仿宋" w:hAnsi="仿宋" w:cs="仿宋" w:hint="eastAsia"/>
          <w:sz w:val="32"/>
          <w:szCs w:val="32"/>
        </w:rPr>
        <w:t>年部门预算公开如下：</w:t>
      </w:r>
    </w:p>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一、部门职责及机构设置情况</w:t>
      </w:r>
    </w:p>
    <w:p w:rsidR="00CF22DA" w:rsidRDefault="003C7427">
      <w:pPr>
        <w:ind w:firstLineChars="200" w:firstLine="643"/>
        <w:rPr>
          <w:rFonts w:ascii="仿宋" w:eastAsia="仿宋" w:hAnsi="仿宋" w:cs="仿宋"/>
          <w:sz w:val="32"/>
          <w:szCs w:val="32"/>
        </w:rPr>
      </w:pPr>
      <w:r>
        <w:rPr>
          <w:rFonts w:ascii="楷体" w:eastAsia="楷体" w:hAnsi="楷体" w:cs="楷体" w:hint="eastAsia"/>
          <w:b/>
          <w:bCs/>
          <w:sz w:val="32"/>
          <w:szCs w:val="32"/>
        </w:rPr>
        <w:t>部门职责</w:t>
      </w:r>
      <w:r>
        <w:rPr>
          <w:rFonts w:ascii="仿宋" w:eastAsia="仿宋" w:hAnsi="仿宋" w:cs="仿宋" w:hint="eastAsia"/>
          <w:sz w:val="32"/>
          <w:szCs w:val="32"/>
        </w:rPr>
        <w:t>：</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、负责会同有关部门贯彻落实国家、省、市有关行政审批制度改革的决定，创新和完善相关工作体制机制。</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、负责投资项目、经贸商务、城管交通、国土建设、文教卫生、社会事务、涉农事务等方面的行政审批事项的办理和相关行政服务事项的办理，并承担相应的法律责任。</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、负责对行政审批以及相关服务事项的流程进行规范和优化，推进行政审批、政务服务标准化建设。</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、负责行政审批和政务服务平台的建设和管理，会同有关部门加强行政审批、政务服务信息化建设。</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5</w:t>
      </w:r>
      <w:r>
        <w:rPr>
          <w:rFonts w:ascii="仿宋" w:eastAsia="仿宋" w:hAnsi="仿宋" w:cs="仿宋" w:hint="eastAsia"/>
          <w:sz w:val="32"/>
          <w:szCs w:val="32"/>
        </w:rPr>
        <w:t>、负责对各窗口以及国家、省、市垂直管理部门进驻工作人员进行日常管理、教育培训和检查考核。</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、负责协调和指导乡镇（区、办）行政审批、政务服务、便民服务体系建设，建立公共服务运行规程和考核体系。</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、负责贯彻落实有关公共资源交易的法律法规和文件规定，对公共资源交易活动实施全过程监督，受理投诉举报，会同有关部门查处违法违纪行为。</w:t>
      </w:r>
    </w:p>
    <w:p w:rsidR="00CF22DA" w:rsidRDefault="003C7427">
      <w:pPr>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、负责承接上级取消下放的行政许可事项，市</w:t>
      </w:r>
      <w:proofErr w:type="gramStart"/>
      <w:r>
        <w:rPr>
          <w:rFonts w:ascii="仿宋" w:eastAsia="仿宋" w:hAnsi="仿宋" w:cs="仿宋" w:hint="eastAsia"/>
          <w:sz w:val="32"/>
          <w:szCs w:val="32"/>
        </w:rPr>
        <w:t>审批局</w:t>
      </w:r>
      <w:proofErr w:type="gramEnd"/>
      <w:r>
        <w:rPr>
          <w:rFonts w:ascii="仿宋" w:eastAsia="仿宋" w:hAnsi="仿宋" w:cs="仿宋" w:hint="eastAsia"/>
          <w:sz w:val="32"/>
          <w:szCs w:val="32"/>
        </w:rPr>
        <w:t>不具备承接条件的由原部门承接。</w:t>
      </w:r>
    </w:p>
    <w:p w:rsidR="00CF22DA" w:rsidRDefault="003C7427">
      <w:pPr>
        <w:spacing w:line="560" w:lineRule="exact"/>
        <w:rPr>
          <w:rFonts w:ascii="仿宋" w:eastAsia="仿宋" w:hAnsi="仿宋" w:cs="仿宋"/>
          <w:sz w:val="32"/>
          <w:szCs w:val="32"/>
        </w:rPr>
      </w:pPr>
      <w:r>
        <w:rPr>
          <w:rFonts w:ascii="仿宋" w:eastAsia="仿宋" w:hAnsi="仿宋" w:cs="仿宋"/>
          <w:sz w:val="32"/>
          <w:szCs w:val="32"/>
        </w:rPr>
        <w:t xml:space="preserve">    9</w:t>
      </w:r>
      <w:r>
        <w:rPr>
          <w:rFonts w:ascii="仿宋" w:eastAsia="仿宋" w:hAnsi="仿宋" w:cs="仿宋" w:hint="eastAsia"/>
          <w:sz w:val="32"/>
          <w:szCs w:val="32"/>
        </w:rPr>
        <w:t>、承办市委、市政府交办的其他事项。</w:t>
      </w:r>
    </w:p>
    <w:p w:rsidR="00CF22DA" w:rsidRDefault="003C7427">
      <w:pPr>
        <w:autoSpaceDE w:val="0"/>
        <w:autoSpaceDN w:val="0"/>
        <w:adjustRightInd w:val="0"/>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机构设置：</w:t>
      </w:r>
    </w:p>
    <w:p w:rsidR="00CF22DA" w:rsidRDefault="003C7427">
      <w:pPr>
        <w:jc w:val="center"/>
        <w:outlineLvl w:val="0"/>
        <w:rPr>
          <w:rFonts w:ascii="仿宋" w:eastAsia="仿宋" w:hAnsi="仿宋" w:cs="仿宋"/>
          <w:sz w:val="32"/>
          <w:szCs w:val="32"/>
        </w:rPr>
      </w:pPr>
      <w:r>
        <w:rPr>
          <w:rFonts w:ascii="仿宋" w:eastAsia="仿宋" w:hAnsi="仿宋" w:cs="仿宋" w:hint="eastAsia"/>
          <w:sz w:val="32"/>
          <w:szCs w:val="32"/>
        </w:rPr>
        <w:t>部门机构设置情况</w:t>
      </w:r>
    </w:p>
    <w:tbl>
      <w:tblPr>
        <w:tblW w:w="97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3"/>
        <w:gridCol w:w="1867"/>
        <w:gridCol w:w="1537"/>
        <w:gridCol w:w="2643"/>
      </w:tblGrid>
      <w:tr w:rsidR="00CF22DA">
        <w:trPr>
          <w:trHeight w:val="317"/>
          <w:tblHeader/>
          <w:jc w:val="center"/>
        </w:trPr>
        <w:tc>
          <w:tcPr>
            <w:tcW w:w="3713" w:type="dxa"/>
            <w:vMerge w:val="restart"/>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单位名称</w:t>
            </w:r>
          </w:p>
        </w:tc>
        <w:tc>
          <w:tcPr>
            <w:tcW w:w="1867" w:type="dxa"/>
            <w:vMerge w:val="restart"/>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单位性质</w:t>
            </w:r>
          </w:p>
        </w:tc>
        <w:tc>
          <w:tcPr>
            <w:tcW w:w="1537" w:type="dxa"/>
            <w:vMerge w:val="restart"/>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单位规格</w:t>
            </w:r>
          </w:p>
        </w:tc>
        <w:tc>
          <w:tcPr>
            <w:tcW w:w="2643" w:type="dxa"/>
            <w:vMerge w:val="restart"/>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经费保障形式</w:t>
            </w:r>
          </w:p>
        </w:tc>
      </w:tr>
      <w:tr w:rsidR="00CF22DA">
        <w:trPr>
          <w:trHeight w:val="317"/>
          <w:tblHeader/>
          <w:jc w:val="center"/>
        </w:trPr>
        <w:tc>
          <w:tcPr>
            <w:tcW w:w="3713" w:type="dxa"/>
            <w:vMerge/>
            <w:vAlign w:val="center"/>
          </w:tcPr>
          <w:p w:rsidR="00CF22DA" w:rsidRDefault="00CF22DA">
            <w:pPr>
              <w:spacing w:line="300" w:lineRule="exact"/>
              <w:jc w:val="left"/>
              <w:outlineLvl w:val="0"/>
              <w:rPr>
                <w:rFonts w:ascii="仿宋" w:eastAsia="仿宋" w:hAnsi="仿宋" w:cs="仿宋"/>
                <w:sz w:val="30"/>
                <w:szCs w:val="30"/>
              </w:rPr>
            </w:pPr>
          </w:p>
        </w:tc>
        <w:tc>
          <w:tcPr>
            <w:tcW w:w="1867" w:type="dxa"/>
            <w:vMerge/>
            <w:vAlign w:val="center"/>
          </w:tcPr>
          <w:p w:rsidR="00CF22DA" w:rsidRDefault="00CF22DA">
            <w:pPr>
              <w:spacing w:line="300" w:lineRule="exact"/>
              <w:jc w:val="left"/>
              <w:outlineLvl w:val="0"/>
              <w:rPr>
                <w:rFonts w:ascii="仿宋" w:eastAsia="仿宋" w:hAnsi="仿宋" w:cs="仿宋"/>
                <w:sz w:val="30"/>
                <w:szCs w:val="30"/>
              </w:rPr>
            </w:pPr>
          </w:p>
        </w:tc>
        <w:tc>
          <w:tcPr>
            <w:tcW w:w="1537" w:type="dxa"/>
            <w:vMerge/>
            <w:vAlign w:val="center"/>
          </w:tcPr>
          <w:p w:rsidR="00CF22DA" w:rsidRDefault="00CF22DA">
            <w:pPr>
              <w:spacing w:line="300" w:lineRule="exact"/>
              <w:jc w:val="left"/>
              <w:outlineLvl w:val="0"/>
              <w:rPr>
                <w:rFonts w:ascii="仿宋" w:eastAsia="仿宋" w:hAnsi="仿宋" w:cs="仿宋"/>
                <w:sz w:val="30"/>
                <w:szCs w:val="30"/>
              </w:rPr>
            </w:pPr>
          </w:p>
        </w:tc>
        <w:tc>
          <w:tcPr>
            <w:tcW w:w="2643" w:type="dxa"/>
            <w:vMerge/>
            <w:vAlign w:val="center"/>
          </w:tcPr>
          <w:p w:rsidR="00CF22DA" w:rsidRDefault="00CF22DA">
            <w:pPr>
              <w:spacing w:line="300" w:lineRule="exact"/>
              <w:jc w:val="left"/>
              <w:outlineLvl w:val="0"/>
              <w:rPr>
                <w:rFonts w:ascii="仿宋" w:eastAsia="仿宋" w:hAnsi="仿宋" w:cs="仿宋"/>
                <w:sz w:val="30"/>
                <w:szCs w:val="30"/>
              </w:rPr>
            </w:pPr>
          </w:p>
        </w:tc>
      </w:tr>
      <w:tr w:rsidR="00CF22DA">
        <w:trPr>
          <w:trHeight w:val="690"/>
          <w:jc w:val="center"/>
        </w:trPr>
        <w:tc>
          <w:tcPr>
            <w:tcW w:w="3713" w:type="dxa"/>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霸州市行政</w:t>
            </w:r>
            <w:proofErr w:type="gramStart"/>
            <w:r>
              <w:rPr>
                <w:rFonts w:ascii="仿宋" w:eastAsia="仿宋" w:hAnsi="仿宋" w:cs="仿宋" w:hint="eastAsia"/>
                <w:sz w:val="30"/>
                <w:szCs w:val="30"/>
              </w:rPr>
              <w:t>审批局</w:t>
            </w:r>
            <w:proofErr w:type="gramEnd"/>
          </w:p>
        </w:tc>
        <w:tc>
          <w:tcPr>
            <w:tcW w:w="1867" w:type="dxa"/>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1537" w:type="dxa"/>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643" w:type="dxa"/>
            <w:vAlign w:val="center"/>
          </w:tcPr>
          <w:p w:rsidR="00CF22DA" w:rsidRDefault="003C7427">
            <w:pPr>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tc>
      </w:tr>
    </w:tbl>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二、部门预算安排的总体情况</w:t>
      </w:r>
    </w:p>
    <w:p w:rsidR="00CF22DA" w:rsidRDefault="003C7427">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w:t>
      </w:r>
      <w:r>
        <w:rPr>
          <w:rFonts w:ascii="仿宋" w:eastAsia="仿宋" w:hAnsi="仿宋" w:cs="仿宋" w:hint="eastAsia"/>
          <w:sz w:val="32"/>
          <w:szCs w:val="32"/>
        </w:rPr>
        <w:lastRenderedPageBreak/>
        <w:t>在预算中。</w:t>
      </w:r>
    </w:p>
    <w:p w:rsidR="00CF22DA" w:rsidRDefault="003C7427">
      <w:pPr>
        <w:ind w:firstLine="640"/>
        <w:rPr>
          <w:rFonts w:ascii="楷体" w:eastAsia="楷体" w:hAnsi="楷体" w:cs="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F22DA" w:rsidRDefault="003C7427">
      <w:pPr>
        <w:ind w:firstLineChars="200" w:firstLine="640"/>
        <w:rPr>
          <w:rFonts w:ascii="仿宋" w:eastAsia="仿宋" w:hAnsi="仿宋" w:cs="仿宋"/>
          <w:sz w:val="32"/>
          <w:szCs w:val="32"/>
        </w:rPr>
      </w:pPr>
      <w:r>
        <w:rPr>
          <w:rFonts w:ascii="仿宋" w:eastAsia="仿宋" w:hAnsi="仿宋" w:cs="仿宋" w:hint="eastAsia"/>
          <w:sz w:val="32"/>
          <w:szCs w:val="32"/>
        </w:rPr>
        <w:t>反映本部门当年全部收入。</w:t>
      </w:r>
      <w:r>
        <w:rPr>
          <w:rFonts w:ascii="仿宋" w:eastAsia="仿宋" w:hAnsi="仿宋" w:cs="仿宋"/>
          <w:sz w:val="32"/>
          <w:szCs w:val="32"/>
        </w:rPr>
        <w:t>2018</w:t>
      </w:r>
      <w:r>
        <w:rPr>
          <w:rFonts w:ascii="仿宋" w:eastAsia="仿宋" w:hAnsi="仿宋" w:cs="仿宋" w:hint="eastAsia"/>
          <w:sz w:val="32"/>
          <w:szCs w:val="32"/>
        </w:rPr>
        <w:t>年预算收入</w:t>
      </w:r>
      <w:r>
        <w:rPr>
          <w:rFonts w:ascii="仿宋" w:eastAsia="仿宋" w:hAnsi="仿宋" w:cs="仿宋"/>
          <w:sz w:val="32"/>
          <w:szCs w:val="32"/>
        </w:rPr>
        <w:t>1489.87</w:t>
      </w:r>
      <w:r>
        <w:rPr>
          <w:rFonts w:ascii="仿宋" w:eastAsia="仿宋" w:hAnsi="仿宋" w:cs="仿宋" w:hint="eastAsia"/>
          <w:sz w:val="32"/>
          <w:szCs w:val="32"/>
        </w:rPr>
        <w:t>万元，其中：一般公共预算收入</w:t>
      </w:r>
      <w:r>
        <w:rPr>
          <w:rFonts w:ascii="仿宋" w:eastAsia="仿宋" w:hAnsi="仿宋" w:cs="仿宋"/>
          <w:sz w:val="32"/>
          <w:szCs w:val="32"/>
        </w:rPr>
        <w:t>1489.87</w:t>
      </w:r>
      <w:r>
        <w:rPr>
          <w:rFonts w:ascii="仿宋" w:eastAsia="仿宋" w:hAnsi="仿宋" w:cs="仿宋" w:hint="eastAsia"/>
          <w:sz w:val="32"/>
          <w:szCs w:val="32"/>
        </w:rPr>
        <w:t>万元，政府性基金预算收入</w:t>
      </w:r>
      <w:r>
        <w:rPr>
          <w:rFonts w:ascii="仿宋" w:eastAsia="仿宋" w:hAnsi="仿宋" w:cs="仿宋"/>
          <w:sz w:val="32"/>
          <w:szCs w:val="32"/>
        </w:rPr>
        <w:t>0</w:t>
      </w:r>
      <w:r>
        <w:rPr>
          <w:rFonts w:ascii="仿宋" w:eastAsia="仿宋" w:hAnsi="仿宋" w:cs="仿宋" w:hint="eastAsia"/>
          <w:sz w:val="32"/>
          <w:szCs w:val="32"/>
        </w:rPr>
        <w:t>万元，国有资本经营预算收入</w:t>
      </w:r>
      <w:r>
        <w:rPr>
          <w:rFonts w:ascii="仿宋" w:eastAsia="仿宋" w:hAnsi="仿宋" w:cs="仿宋"/>
          <w:sz w:val="32"/>
          <w:szCs w:val="32"/>
        </w:rPr>
        <w:t>0</w:t>
      </w:r>
      <w:r>
        <w:rPr>
          <w:rFonts w:ascii="仿宋" w:eastAsia="仿宋" w:hAnsi="仿宋" w:cs="仿宋" w:hint="eastAsia"/>
          <w:sz w:val="32"/>
          <w:szCs w:val="32"/>
        </w:rPr>
        <w:t>万元，上级补助收入</w:t>
      </w:r>
      <w:r>
        <w:rPr>
          <w:rFonts w:ascii="仿宋" w:eastAsia="仿宋" w:hAnsi="仿宋" w:cs="仿宋"/>
          <w:sz w:val="32"/>
          <w:szCs w:val="32"/>
        </w:rPr>
        <w:t>0</w:t>
      </w:r>
      <w:r>
        <w:rPr>
          <w:rFonts w:ascii="仿宋" w:eastAsia="仿宋" w:hAnsi="仿宋" w:cs="仿宋" w:hint="eastAsia"/>
          <w:sz w:val="32"/>
          <w:szCs w:val="32"/>
        </w:rPr>
        <w:t>万元，事业收入</w:t>
      </w:r>
      <w:r>
        <w:rPr>
          <w:rFonts w:ascii="仿宋" w:eastAsia="仿宋" w:hAnsi="仿宋" w:cs="仿宋"/>
          <w:sz w:val="32"/>
          <w:szCs w:val="32"/>
        </w:rPr>
        <w:t>0</w:t>
      </w:r>
      <w:r>
        <w:rPr>
          <w:rFonts w:ascii="仿宋" w:eastAsia="仿宋" w:hAnsi="仿宋" w:cs="仿宋" w:hint="eastAsia"/>
          <w:sz w:val="32"/>
          <w:szCs w:val="32"/>
        </w:rPr>
        <w:t>万元，经营收入</w:t>
      </w:r>
      <w:r>
        <w:rPr>
          <w:rFonts w:ascii="仿宋" w:eastAsia="仿宋" w:hAnsi="仿宋" w:cs="仿宋"/>
          <w:sz w:val="32"/>
          <w:szCs w:val="32"/>
        </w:rPr>
        <w:t>0</w:t>
      </w:r>
      <w:r>
        <w:rPr>
          <w:rFonts w:ascii="仿宋" w:eastAsia="仿宋" w:hAnsi="仿宋" w:cs="仿宋" w:hint="eastAsia"/>
          <w:sz w:val="32"/>
          <w:szCs w:val="32"/>
        </w:rPr>
        <w:t>万元，附属单位上缴收入</w:t>
      </w:r>
      <w:r>
        <w:rPr>
          <w:rFonts w:ascii="仿宋" w:eastAsia="仿宋" w:hAnsi="仿宋" w:cs="仿宋"/>
          <w:sz w:val="32"/>
          <w:szCs w:val="32"/>
        </w:rPr>
        <w:t>0</w:t>
      </w:r>
      <w:r>
        <w:rPr>
          <w:rFonts w:ascii="仿宋" w:eastAsia="仿宋" w:hAnsi="仿宋" w:cs="仿宋" w:hint="eastAsia"/>
          <w:sz w:val="32"/>
          <w:szCs w:val="32"/>
        </w:rPr>
        <w:t>万元，其他收入</w:t>
      </w:r>
      <w:r>
        <w:rPr>
          <w:rFonts w:ascii="仿宋" w:eastAsia="仿宋" w:hAnsi="仿宋" w:cs="仿宋"/>
          <w:sz w:val="32"/>
          <w:szCs w:val="32"/>
        </w:rPr>
        <w:t>0</w:t>
      </w:r>
      <w:r>
        <w:rPr>
          <w:rFonts w:ascii="仿宋" w:eastAsia="仿宋" w:hAnsi="仿宋" w:cs="仿宋" w:hint="eastAsia"/>
          <w:sz w:val="32"/>
          <w:szCs w:val="32"/>
        </w:rPr>
        <w:t>万元。</w:t>
      </w:r>
    </w:p>
    <w:p w:rsidR="00CF22DA" w:rsidRDefault="003C7427">
      <w:pPr>
        <w:ind w:firstLine="640"/>
        <w:rPr>
          <w:rFonts w:ascii="楷体" w:eastAsia="楷体" w:hAnsi="楷体" w:cs="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F22DA" w:rsidRDefault="003C7427">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收支预算总表支出栏、基本支出表、项目支出表按经济分类和支出功能分类科目编制，反映霸州市行政</w:t>
      </w:r>
      <w:proofErr w:type="gramStart"/>
      <w:r>
        <w:rPr>
          <w:rFonts w:ascii="仿宋" w:eastAsia="仿宋" w:hAnsi="仿宋" w:cs="仿宋" w:hint="eastAsia"/>
          <w:sz w:val="32"/>
          <w:szCs w:val="32"/>
        </w:rPr>
        <w:t>审批局</w:t>
      </w:r>
      <w:proofErr w:type="gramEnd"/>
      <w:r>
        <w:rPr>
          <w:rFonts w:ascii="仿宋" w:eastAsia="仿宋" w:hAnsi="仿宋" w:cs="仿宋"/>
          <w:sz w:val="32"/>
          <w:szCs w:val="32"/>
        </w:rPr>
        <w:t>2018</w:t>
      </w:r>
      <w:r>
        <w:rPr>
          <w:rFonts w:ascii="仿宋" w:eastAsia="仿宋" w:hAnsi="仿宋" w:cs="仿宋" w:hint="eastAsia"/>
          <w:sz w:val="32"/>
          <w:szCs w:val="32"/>
        </w:rPr>
        <w:t>年度部门预算中支出预算的总体情况。</w:t>
      </w:r>
      <w:r>
        <w:rPr>
          <w:rFonts w:ascii="仿宋" w:eastAsia="仿宋" w:hAnsi="仿宋" w:cs="仿宋"/>
          <w:sz w:val="32"/>
          <w:szCs w:val="32"/>
        </w:rPr>
        <w:t>2018</w:t>
      </w:r>
      <w:r>
        <w:rPr>
          <w:rFonts w:ascii="仿宋" w:eastAsia="仿宋" w:hAnsi="仿宋" w:cs="仿宋" w:hint="eastAsia"/>
          <w:sz w:val="32"/>
          <w:szCs w:val="32"/>
        </w:rPr>
        <w:t>年本部门支出预算</w:t>
      </w:r>
      <w:r>
        <w:rPr>
          <w:rFonts w:ascii="仿宋" w:eastAsia="仿宋" w:hAnsi="仿宋" w:cs="仿宋"/>
          <w:sz w:val="32"/>
          <w:szCs w:val="32"/>
        </w:rPr>
        <w:t>1489.87</w:t>
      </w:r>
      <w:r>
        <w:rPr>
          <w:rFonts w:ascii="仿宋" w:eastAsia="仿宋" w:hAnsi="仿宋" w:cs="仿宋" w:hint="eastAsia"/>
          <w:sz w:val="32"/>
          <w:szCs w:val="32"/>
        </w:rPr>
        <w:t>万元，其中：基本支出</w:t>
      </w:r>
      <w:r>
        <w:rPr>
          <w:rFonts w:ascii="仿宋" w:eastAsia="仿宋" w:hAnsi="仿宋" w:cs="仿宋"/>
          <w:sz w:val="32"/>
          <w:szCs w:val="32"/>
        </w:rPr>
        <w:t>89.23</w:t>
      </w:r>
      <w:r>
        <w:rPr>
          <w:rFonts w:ascii="仿宋" w:eastAsia="仿宋" w:hAnsi="仿宋" w:cs="仿宋" w:hint="eastAsia"/>
          <w:sz w:val="32"/>
          <w:szCs w:val="32"/>
        </w:rPr>
        <w:t>万元，包括：人员经费</w:t>
      </w:r>
      <w:r>
        <w:rPr>
          <w:rFonts w:ascii="仿宋" w:eastAsia="仿宋" w:hAnsi="仿宋" w:cs="仿宋"/>
          <w:sz w:val="32"/>
          <w:szCs w:val="32"/>
        </w:rPr>
        <w:t>0</w:t>
      </w:r>
      <w:r>
        <w:rPr>
          <w:rFonts w:ascii="仿宋" w:eastAsia="仿宋" w:hAnsi="仿宋" w:cs="仿宋" w:hint="eastAsia"/>
          <w:sz w:val="32"/>
          <w:szCs w:val="32"/>
        </w:rPr>
        <w:t>万元和日常公用经费</w:t>
      </w:r>
      <w:r>
        <w:rPr>
          <w:rFonts w:ascii="仿宋" w:eastAsia="仿宋" w:hAnsi="仿宋" w:cs="仿宋"/>
          <w:sz w:val="32"/>
          <w:szCs w:val="32"/>
        </w:rPr>
        <w:t>89.23</w:t>
      </w:r>
      <w:r>
        <w:rPr>
          <w:rFonts w:ascii="仿宋" w:eastAsia="仿宋" w:hAnsi="仿宋" w:cs="仿宋" w:hint="eastAsia"/>
          <w:sz w:val="32"/>
          <w:szCs w:val="32"/>
        </w:rPr>
        <w:t>万元；项目支出</w:t>
      </w:r>
      <w:r>
        <w:rPr>
          <w:rFonts w:ascii="仿宋" w:eastAsia="仿宋" w:hAnsi="仿宋" w:cs="仿宋"/>
          <w:sz w:val="32"/>
          <w:szCs w:val="32"/>
        </w:rPr>
        <w:t>1400.64</w:t>
      </w:r>
      <w:r>
        <w:rPr>
          <w:rFonts w:ascii="仿宋" w:eastAsia="仿宋" w:hAnsi="仿宋" w:cs="仿宋" w:hint="eastAsia"/>
          <w:sz w:val="32"/>
          <w:szCs w:val="32"/>
        </w:rPr>
        <w:t>万元，全部为本级支出，主要为政务服务平台软件维护费、办公用房租赁费、零成本注册登记工作经费、政务服务大厅设备及中央空调维修费、档案数字化项目经费、“互联网</w:t>
      </w:r>
      <w:r>
        <w:rPr>
          <w:rFonts w:ascii="仿宋" w:eastAsia="仿宋" w:hAnsi="仿宋" w:cs="仿宋"/>
          <w:sz w:val="32"/>
          <w:szCs w:val="32"/>
        </w:rPr>
        <w:t>+</w:t>
      </w:r>
      <w:r>
        <w:rPr>
          <w:rFonts w:ascii="仿宋" w:eastAsia="仿宋" w:hAnsi="仿宋" w:cs="仿宋" w:hint="eastAsia"/>
          <w:sz w:val="32"/>
          <w:szCs w:val="32"/>
        </w:rPr>
        <w:t>政务服务”三级平台软件对接开发费用、宣传印刷费、政务服务大厅物业费、电费、政务服务大厅及乡镇、村街便民网络光纤费、行政审批电子政务平台软硬件升级服务费、政务服务大厅及附属楼取暖费、村级便民服务大厅</w:t>
      </w:r>
      <w:r>
        <w:rPr>
          <w:rFonts w:ascii="仿宋" w:eastAsia="仿宋" w:hAnsi="仿宋" w:cs="仿宋" w:hint="eastAsia"/>
          <w:sz w:val="32"/>
          <w:szCs w:val="32"/>
        </w:rPr>
        <w:lastRenderedPageBreak/>
        <w:t>视频监控及网络办公系统建设资金、新政务服务大厅建设前期工作经费等；上缴上级支出</w:t>
      </w:r>
      <w:r>
        <w:rPr>
          <w:rFonts w:ascii="仿宋" w:eastAsia="仿宋" w:hAnsi="仿宋" w:cs="仿宋"/>
          <w:sz w:val="32"/>
          <w:szCs w:val="32"/>
        </w:rPr>
        <w:t>0</w:t>
      </w:r>
      <w:r>
        <w:rPr>
          <w:rFonts w:ascii="仿宋" w:eastAsia="仿宋" w:hAnsi="仿宋" w:cs="仿宋" w:hint="eastAsia"/>
          <w:sz w:val="32"/>
          <w:szCs w:val="32"/>
        </w:rPr>
        <w:t>万元，经营支出</w:t>
      </w:r>
      <w:r>
        <w:rPr>
          <w:rFonts w:ascii="仿宋" w:eastAsia="仿宋" w:hAnsi="仿宋" w:cs="仿宋"/>
          <w:sz w:val="32"/>
          <w:szCs w:val="32"/>
        </w:rPr>
        <w:t>0</w:t>
      </w:r>
      <w:r>
        <w:rPr>
          <w:rFonts w:ascii="仿宋" w:eastAsia="仿宋" w:hAnsi="仿宋" w:cs="仿宋" w:hint="eastAsia"/>
          <w:sz w:val="32"/>
          <w:szCs w:val="32"/>
        </w:rPr>
        <w:t>万元，对附属单位补助支出</w:t>
      </w:r>
      <w:r>
        <w:rPr>
          <w:rFonts w:ascii="仿宋" w:eastAsia="仿宋" w:hAnsi="仿宋" w:cs="仿宋"/>
          <w:sz w:val="32"/>
          <w:szCs w:val="32"/>
        </w:rPr>
        <w:t>0</w:t>
      </w:r>
      <w:r>
        <w:rPr>
          <w:rFonts w:ascii="仿宋" w:eastAsia="仿宋" w:hAnsi="仿宋" w:cs="仿宋" w:hint="eastAsia"/>
          <w:sz w:val="32"/>
          <w:szCs w:val="32"/>
        </w:rPr>
        <w:t>万元。</w:t>
      </w:r>
    </w:p>
    <w:p w:rsidR="00CF22DA" w:rsidRDefault="003C7427">
      <w:pPr>
        <w:ind w:firstLine="640"/>
        <w:rPr>
          <w:rFonts w:ascii="楷体" w:eastAsia="楷体" w:hAnsi="楷体" w:cs="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、比上年增减情况</w:t>
      </w:r>
    </w:p>
    <w:p w:rsidR="00CF22DA" w:rsidRDefault="003C7427">
      <w:pPr>
        <w:ind w:firstLine="640"/>
        <w:rPr>
          <w:rFonts w:ascii="仿宋" w:eastAsia="仿宋" w:hAnsi="仿宋" w:cs="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预算收支安排</w:t>
      </w:r>
      <w:r>
        <w:rPr>
          <w:rFonts w:ascii="仿宋" w:eastAsia="仿宋" w:hAnsi="仿宋" w:cs="仿宋"/>
          <w:sz w:val="32"/>
          <w:szCs w:val="32"/>
        </w:rPr>
        <w:t>1489.87</w:t>
      </w:r>
      <w:r>
        <w:rPr>
          <w:rFonts w:ascii="仿宋" w:eastAsia="仿宋" w:hAnsi="仿宋" w:cs="仿宋" w:hint="eastAsia"/>
          <w:color w:val="000000"/>
          <w:sz w:val="32"/>
          <w:szCs w:val="32"/>
        </w:rPr>
        <w:t>万元，较</w:t>
      </w:r>
      <w:r>
        <w:rPr>
          <w:rFonts w:ascii="仿宋" w:eastAsia="仿宋" w:hAnsi="仿宋" w:cs="仿宋"/>
          <w:color w:val="000000"/>
          <w:sz w:val="32"/>
          <w:szCs w:val="32"/>
        </w:rPr>
        <w:t>2017</w:t>
      </w:r>
      <w:r>
        <w:rPr>
          <w:rFonts w:ascii="仿宋" w:eastAsia="仿宋" w:hAnsi="仿宋" w:cs="仿宋" w:hint="eastAsia"/>
          <w:color w:val="000000"/>
          <w:sz w:val="32"/>
          <w:szCs w:val="32"/>
        </w:rPr>
        <w:t>年预算</w:t>
      </w:r>
      <w:r>
        <w:rPr>
          <w:rFonts w:ascii="仿宋" w:eastAsia="仿宋" w:hAnsi="仿宋" w:cs="仿宋" w:hint="eastAsia"/>
          <w:sz w:val="32"/>
          <w:szCs w:val="32"/>
        </w:rPr>
        <w:t>增加</w:t>
      </w:r>
      <w:r>
        <w:rPr>
          <w:rFonts w:ascii="仿宋" w:eastAsia="仿宋" w:hAnsi="仿宋" w:cs="仿宋"/>
          <w:sz w:val="32"/>
          <w:szCs w:val="32"/>
        </w:rPr>
        <w:t>823.49</w:t>
      </w:r>
      <w:r>
        <w:rPr>
          <w:rFonts w:ascii="仿宋" w:eastAsia="仿宋" w:hAnsi="仿宋" w:cs="仿宋" w:hint="eastAsia"/>
          <w:color w:val="000000"/>
          <w:sz w:val="32"/>
          <w:szCs w:val="32"/>
        </w:rPr>
        <w:t>万元，其中：基本支出与上年持平</w:t>
      </w:r>
      <w:r>
        <w:rPr>
          <w:rFonts w:ascii="仿宋" w:eastAsia="仿宋" w:hAnsi="仿宋" w:cs="仿宋"/>
          <w:color w:val="000000"/>
          <w:sz w:val="32"/>
          <w:szCs w:val="32"/>
        </w:rPr>
        <w:t>,</w:t>
      </w:r>
      <w:r>
        <w:rPr>
          <w:rFonts w:ascii="仿宋" w:eastAsia="仿宋" w:hAnsi="仿宋" w:cs="仿宋" w:hint="eastAsia"/>
          <w:color w:val="000000"/>
          <w:sz w:val="32"/>
          <w:szCs w:val="32"/>
        </w:rPr>
        <w:t>无增减变化；项目支出</w:t>
      </w:r>
      <w:r>
        <w:rPr>
          <w:rFonts w:ascii="仿宋" w:eastAsia="仿宋" w:hAnsi="仿宋" w:cs="仿宋" w:hint="eastAsia"/>
          <w:sz w:val="32"/>
          <w:szCs w:val="32"/>
        </w:rPr>
        <w:t>增加</w:t>
      </w:r>
      <w:r>
        <w:rPr>
          <w:rFonts w:ascii="仿宋" w:eastAsia="仿宋" w:hAnsi="仿宋" w:cs="仿宋"/>
          <w:color w:val="000000"/>
          <w:sz w:val="32"/>
          <w:szCs w:val="32"/>
        </w:rPr>
        <w:t>823.49</w:t>
      </w:r>
      <w:r>
        <w:rPr>
          <w:rFonts w:ascii="仿宋" w:eastAsia="仿宋" w:hAnsi="仿宋" w:cs="仿宋" w:hint="eastAsia"/>
          <w:color w:val="000000"/>
          <w:sz w:val="32"/>
          <w:szCs w:val="32"/>
        </w:rPr>
        <w:t>万元，主要为行政</w:t>
      </w:r>
      <w:proofErr w:type="gramStart"/>
      <w:r>
        <w:rPr>
          <w:rFonts w:ascii="仿宋" w:eastAsia="仿宋" w:hAnsi="仿宋" w:cs="仿宋" w:hint="eastAsia"/>
          <w:color w:val="000000"/>
          <w:sz w:val="32"/>
          <w:szCs w:val="32"/>
        </w:rPr>
        <w:t>审批局</w:t>
      </w:r>
      <w:proofErr w:type="gramEnd"/>
      <w:r>
        <w:rPr>
          <w:rFonts w:ascii="仿宋" w:eastAsia="仿宋" w:hAnsi="仿宋" w:cs="仿宋" w:hint="eastAsia"/>
          <w:color w:val="000000"/>
          <w:sz w:val="32"/>
          <w:szCs w:val="32"/>
        </w:rPr>
        <w:t>于</w:t>
      </w:r>
      <w:r>
        <w:rPr>
          <w:rFonts w:ascii="仿宋" w:eastAsia="仿宋" w:hAnsi="仿宋" w:cs="仿宋"/>
          <w:color w:val="000000"/>
          <w:sz w:val="32"/>
          <w:szCs w:val="32"/>
        </w:rPr>
        <w:t>2017</w:t>
      </w:r>
      <w:r>
        <w:rPr>
          <w:rFonts w:ascii="仿宋" w:eastAsia="仿宋" w:hAnsi="仿宋" w:cs="仿宋" w:hint="eastAsia"/>
          <w:color w:val="000000"/>
          <w:sz w:val="32"/>
          <w:szCs w:val="32"/>
        </w:rPr>
        <w:t>年新成立</w:t>
      </w:r>
      <w:r>
        <w:rPr>
          <w:rFonts w:ascii="仿宋" w:eastAsia="仿宋" w:hAnsi="仿宋" w:cs="仿宋"/>
          <w:color w:val="000000"/>
          <w:sz w:val="32"/>
          <w:szCs w:val="32"/>
        </w:rPr>
        <w:t>,</w:t>
      </w:r>
      <w:r>
        <w:rPr>
          <w:rFonts w:ascii="仿宋" w:eastAsia="仿宋" w:hAnsi="仿宋" w:cs="仿宋" w:hint="eastAsia"/>
          <w:color w:val="000000"/>
          <w:sz w:val="32"/>
          <w:szCs w:val="32"/>
        </w:rPr>
        <w:t>根据工作需要</w:t>
      </w:r>
      <w:r>
        <w:rPr>
          <w:rFonts w:ascii="仿宋" w:eastAsia="仿宋" w:hAnsi="仿宋" w:cs="仿宋" w:hint="eastAsia"/>
          <w:sz w:val="32"/>
          <w:szCs w:val="32"/>
        </w:rPr>
        <w:t>增加各</w:t>
      </w:r>
      <w:r>
        <w:rPr>
          <w:rFonts w:ascii="仿宋" w:eastAsia="仿宋" w:hAnsi="仿宋" w:cs="仿宋" w:hint="eastAsia"/>
          <w:color w:val="000000"/>
          <w:sz w:val="32"/>
          <w:szCs w:val="32"/>
        </w:rPr>
        <w:t>类项目支出</w:t>
      </w:r>
      <w:r>
        <w:rPr>
          <w:rFonts w:ascii="仿宋" w:eastAsia="仿宋" w:hAnsi="仿宋" w:cs="仿宋"/>
          <w:color w:val="000000"/>
          <w:sz w:val="32"/>
          <w:szCs w:val="32"/>
        </w:rPr>
        <w:t>,</w:t>
      </w:r>
      <w:r>
        <w:rPr>
          <w:rFonts w:ascii="仿宋" w:eastAsia="仿宋" w:hAnsi="仿宋" w:cs="仿宋" w:hint="eastAsia"/>
          <w:color w:val="000000"/>
          <w:sz w:val="32"/>
          <w:szCs w:val="32"/>
        </w:rPr>
        <w:t>物业费、档案数字化项目、三级平台软件升级、村级便民服务大厅视频监控及网络办公系统建设资金、新建政务服务大厅建设前期工作经费等。</w:t>
      </w:r>
    </w:p>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三、机关运行经费安排情况</w:t>
      </w:r>
    </w:p>
    <w:p w:rsidR="00CF22DA" w:rsidRDefault="003C7427">
      <w:pPr>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70.82</w:t>
      </w:r>
      <w:r>
        <w:rPr>
          <w:rFonts w:ascii="仿宋" w:eastAsia="仿宋" w:hAnsi="仿宋" w:cs="仿宋" w:hint="eastAsia"/>
          <w:sz w:val="32"/>
          <w:szCs w:val="32"/>
        </w:rPr>
        <w:t>万元，主要用于确保霸州市行政审批局、政务服务大厅正常运行的日常办公耗材、印刷费、维修维护费、劳务费等。</w:t>
      </w:r>
    </w:p>
    <w:p w:rsidR="00CF22DA" w:rsidRDefault="003C7427">
      <w:pPr>
        <w:rPr>
          <w:rFonts w:ascii="黑体" w:eastAsia="黑体" w:hAnsi="黑体" w:cs="黑体"/>
          <w:sz w:val="32"/>
          <w:szCs w:val="32"/>
        </w:rPr>
      </w:pPr>
      <w:r>
        <w:rPr>
          <w:rFonts w:ascii="黑体" w:eastAsia="黑体" w:hAnsi="黑体" w:cs="黑体" w:hint="eastAsia"/>
          <w:sz w:val="32"/>
          <w:szCs w:val="32"/>
        </w:rPr>
        <w:t>四、财政拨款“三公”经费预算情况及增减变化原因</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“三公”经费预算安排</w:t>
      </w:r>
      <w:r>
        <w:rPr>
          <w:rFonts w:ascii="仿宋" w:eastAsia="仿宋" w:hAnsi="仿宋" w:cs="仿宋"/>
          <w:sz w:val="32"/>
          <w:szCs w:val="32"/>
        </w:rPr>
        <w:t>2.5</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2017</w:t>
      </w:r>
      <w:r>
        <w:rPr>
          <w:rFonts w:ascii="仿宋" w:eastAsia="仿宋" w:hAnsi="仿宋" w:cs="仿宋" w:hint="eastAsia"/>
          <w:sz w:val="32"/>
          <w:szCs w:val="32"/>
        </w:rPr>
        <w:t>年持平，无增减变化；公务用车购置及运维费</w:t>
      </w:r>
      <w:r>
        <w:rPr>
          <w:rFonts w:ascii="仿宋" w:eastAsia="仿宋" w:hAnsi="仿宋" w:cs="仿宋"/>
          <w:sz w:val="32"/>
          <w:szCs w:val="32"/>
        </w:rPr>
        <w:t>2.5</w:t>
      </w:r>
      <w:r>
        <w:rPr>
          <w:rFonts w:ascii="仿宋" w:eastAsia="仿宋" w:hAnsi="仿宋" w:cs="仿宋" w:hint="eastAsia"/>
          <w:sz w:val="32"/>
          <w:szCs w:val="32"/>
        </w:rPr>
        <w:t>万元（其中：公务用车购置费</w:t>
      </w:r>
      <w:r>
        <w:rPr>
          <w:rFonts w:ascii="仿宋" w:eastAsia="仿宋" w:hAnsi="仿宋" w:cs="仿宋"/>
          <w:sz w:val="32"/>
          <w:szCs w:val="32"/>
        </w:rPr>
        <w:t>0</w:t>
      </w:r>
      <w:r>
        <w:rPr>
          <w:rFonts w:ascii="仿宋" w:eastAsia="仿宋" w:hAnsi="仿宋" w:cs="仿宋" w:hint="eastAsia"/>
          <w:sz w:val="32"/>
          <w:szCs w:val="32"/>
        </w:rPr>
        <w:t>万元，公务用车运行</w:t>
      </w:r>
      <w:r>
        <w:rPr>
          <w:rFonts w:ascii="仿宋" w:eastAsia="仿宋" w:hAnsi="仿宋" w:cs="仿宋" w:hint="eastAsia"/>
          <w:sz w:val="32"/>
          <w:szCs w:val="32"/>
        </w:rPr>
        <w:lastRenderedPageBreak/>
        <w:t>维护费</w:t>
      </w:r>
      <w:r>
        <w:rPr>
          <w:rFonts w:ascii="仿宋" w:eastAsia="仿宋" w:hAnsi="仿宋" w:cs="仿宋"/>
          <w:sz w:val="32"/>
          <w:szCs w:val="32"/>
        </w:rPr>
        <w:t>2.5</w:t>
      </w:r>
      <w:r>
        <w:rPr>
          <w:rFonts w:ascii="仿宋" w:eastAsia="仿宋" w:hAnsi="仿宋" w:cs="仿宋" w:hint="eastAsia"/>
          <w:sz w:val="32"/>
          <w:szCs w:val="32"/>
        </w:rPr>
        <w:t>万元</w:t>
      </w:r>
      <w:r>
        <w:rPr>
          <w:rFonts w:ascii="仿宋" w:eastAsia="仿宋" w:hAnsi="仿宋" w:cs="仿宋"/>
          <w:sz w:val="32"/>
          <w:szCs w:val="32"/>
        </w:rPr>
        <w:t xml:space="preserve">) </w:t>
      </w:r>
      <w:r>
        <w:rPr>
          <w:rFonts w:ascii="仿宋" w:eastAsia="仿宋" w:hAnsi="仿宋" w:cs="仿宋" w:hint="eastAsia"/>
          <w:sz w:val="32"/>
          <w:szCs w:val="32"/>
        </w:rPr>
        <w:t>较</w:t>
      </w:r>
      <w:r>
        <w:rPr>
          <w:rFonts w:ascii="仿宋" w:eastAsia="仿宋" w:hAnsi="仿宋" w:cs="仿宋"/>
          <w:sz w:val="32"/>
          <w:szCs w:val="32"/>
        </w:rPr>
        <w:t>2017</w:t>
      </w:r>
      <w:r>
        <w:rPr>
          <w:rFonts w:ascii="仿宋" w:eastAsia="仿宋" w:hAnsi="仿宋" w:cs="仿宋" w:hint="eastAsia"/>
          <w:sz w:val="32"/>
          <w:szCs w:val="32"/>
        </w:rPr>
        <w:t>年“三公”经费增加</w:t>
      </w:r>
      <w:r>
        <w:rPr>
          <w:rFonts w:ascii="仿宋" w:eastAsia="仿宋" w:hAnsi="仿宋" w:cs="仿宋"/>
          <w:sz w:val="32"/>
          <w:szCs w:val="32"/>
        </w:rPr>
        <w:t>2.5</w:t>
      </w:r>
      <w:r>
        <w:rPr>
          <w:rFonts w:ascii="仿宋" w:eastAsia="仿宋" w:hAnsi="仿宋" w:cs="仿宋" w:hint="eastAsia"/>
          <w:sz w:val="32"/>
          <w:szCs w:val="32"/>
        </w:rPr>
        <w:t>万元，增加原因为成立行政审批局，新调拨一辆通讯机要用车，需进行公车日常运行及维护；公务接待费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2017</w:t>
      </w:r>
      <w:r>
        <w:rPr>
          <w:rFonts w:ascii="仿宋" w:eastAsia="仿宋" w:hAnsi="仿宋" w:cs="仿宋" w:hint="eastAsia"/>
          <w:sz w:val="32"/>
          <w:szCs w:val="32"/>
        </w:rPr>
        <w:t>年持平，无增减变化。</w:t>
      </w:r>
    </w:p>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五、绩效预算信息</w:t>
      </w:r>
    </w:p>
    <w:p w:rsidR="00CF22DA" w:rsidRDefault="003C7427">
      <w:pPr>
        <w:ind w:firstLineChars="200" w:firstLine="643"/>
        <w:jc w:val="left"/>
        <w:rPr>
          <w:rFonts w:ascii="楷体" w:eastAsia="楷体" w:hAnsi="楷体" w:cs="楷体"/>
          <w:b/>
          <w:bCs/>
          <w:sz w:val="32"/>
          <w:szCs w:val="32"/>
        </w:rPr>
      </w:pPr>
      <w:bookmarkStart w:id="0" w:name="_Toc471398463"/>
      <w:r>
        <w:rPr>
          <w:rFonts w:ascii="楷体" w:eastAsia="楷体" w:hAnsi="楷体" w:cs="楷体" w:hint="eastAsia"/>
          <w:b/>
          <w:bCs/>
          <w:sz w:val="32"/>
          <w:szCs w:val="32"/>
        </w:rPr>
        <w:t>总体绩效目标：</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、综合协调市级各部门审批服务事项、便民服务事项和有关公共资源交易事项集中办理工作。</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、会同有关部门拟定审批服务、便民服务和公共资源交易的规章制度、管理办法、工作规则和工作流程并监督实施。</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、承担审批中心、公共资源交易中心、便民服务中心的信息网络系统建设、业务培训和运行管理工作。</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、对中心各窗口、进驻部门及其工作人员进行日常管理和考核。</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、受理</w:t>
      </w:r>
      <w:proofErr w:type="gramStart"/>
      <w:r>
        <w:rPr>
          <w:rFonts w:ascii="仿宋" w:eastAsia="仿宋" w:hAnsi="仿宋" w:cs="仿宋" w:hint="eastAsia"/>
          <w:sz w:val="32"/>
          <w:szCs w:val="32"/>
        </w:rPr>
        <w:t>三中心</w:t>
      </w:r>
      <w:proofErr w:type="gramEnd"/>
      <w:r>
        <w:rPr>
          <w:rFonts w:ascii="仿宋" w:eastAsia="仿宋" w:hAnsi="仿宋" w:cs="仿宋" w:hint="eastAsia"/>
          <w:sz w:val="32"/>
          <w:szCs w:val="32"/>
        </w:rPr>
        <w:t>相关投诉，并按有关规定进行处理。</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、会同纪检监察部门对中心各窗口、进驻机构的审批服务、便民服务、公共资源交易服务行为进行监督检查。</w:t>
      </w:r>
    </w:p>
    <w:p w:rsidR="00CF22DA" w:rsidRDefault="003C7427">
      <w:pPr>
        <w:ind w:firstLineChars="200" w:firstLine="640"/>
        <w:rPr>
          <w:rFonts w:ascii="仿宋" w:eastAsia="仿宋" w:hAnsi="仿宋" w:cs="仿宋"/>
          <w:sz w:val="32"/>
          <w:szCs w:val="32"/>
        </w:rPr>
      </w:pPr>
      <w:r>
        <w:rPr>
          <w:rFonts w:ascii="仿宋" w:eastAsia="仿宋" w:hAnsi="仿宋" w:cs="仿宋"/>
          <w:sz w:val="32"/>
          <w:szCs w:val="32"/>
        </w:rPr>
        <w:lastRenderedPageBreak/>
        <w:t>7</w:t>
      </w:r>
      <w:r>
        <w:rPr>
          <w:rFonts w:ascii="仿宋" w:eastAsia="仿宋" w:hAnsi="仿宋" w:cs="仿宋" w:hint="eastAsia"/>
          <w:sz w:val="32"/>
          <w:szCs w:val="32"/>
        </w:rPr>
        <w:t>、协调、指导乡镇便</w:t>
      </w:r>
      <w:r>
        <w:rPr>
          <w:rFonts w:ascii="仿宋" w:eastAsia="仿宋" w:hAnsi="仿宋" w:cs="仿宋" w:hint="eastAsia"/>
          <w:sz w:val="32"/>
          <w:szCs w:val="32"/>
        </w:rPr>
        <w:t>民服务中心规范化建设。</w:t>
      </w:r>
    </w:p>
    <w:p w:rsidR="00CF22DA" w:rsidRDefault="003C7427">
      <w:pPr>
        <w:ind w:firstLineChars="200" w:firstLine="643"/>
        <w:jc w:val="left"/>
        <w:outlineLvl w:val="0"/>
        <w:rPr>
          <w:rFonts w:ascii="楷体" w:eastAsia="楷体" w:hAnsi="楷体" w:cs="楷体"/>
          <w:b/>
          <w:bCs/>
          <w:sz w:val="32"/>
          <w:szCs w:val="32"/>
        </w:rPr>
      </w:pPr>
      <w:r>
        <w:rPr>
          <w:rFonts w:ascii="楷体" w:eastAsia="楷体" w:hAnsi="楷体" w:cs="楷体" w:hint="eastAsia"/>
          <w:b/>
          <w:bCs/>
          <w:sz w:val="32"/>
          <w:szCs w:val="32"/>
        </w:rPr>
        <w:t>部门职责及工作活动绩效目标指标：</w:t>
      </w:r>
    </w:p>
    <w:p w:rsidR="00CF22DA" w:rsidRDefault="003C7427">
      <w:pPr>
        <w:jc w:val="center"/>
        <w:outlineLvl w:val="0"/>
        <w:rPr>
          <w:rFonts w:ascii="楷体" w:eastAsia="楷体" w:hAnsi="楷体" w:cs="楷体"/>
          <w:b/>
          <w:bCs/>
          <w:sz w:val="32"/>
          <w:szCs w:val="32"/>
        </w:rPr>
      </w:pPr>
      <w:r>
        <w:rPr>
          <w:rFonts w:ascii="楷体" w:eastAsia="楷体" w:hAnsi="楷体" w:cs="楷体" w:hint="eastAsia"/>
          <w:b/>
          <w:bCs/>
          <w:sz w:val="32"/>
          <w:szCs w:val="32"/>
        </w:rPr>
        <w:t>部门职责</w:t>
      </w:r>
      <w:r>
        <w:rPr>
          <w:rFonts w:ascii="楷体" w:eastAsia="楷体" w:hAnsi="楷体" w:cs="楷体"/>
          <w:b/>
          <w:bCs/>
          <w:sz w:val="32"/>
          <w:szCs w:val="32"/>
        </w:rPr>
        <w:t>-</w:t>
      </w:r>
      <w:r>
        <w:rPr>
          <w:rFonts w:ascii="楷体" w:eastAsia="楷体" w:hAnsi="楷体" w:cs="楷体" w:hint="eastAsia"/>
          <w:b/>
          <w:bCs/>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007"/>
        <w:gridCol w:w="3245"/>
        <w:gridCol w:w="2976"/>
        <w:gridCol w:w="1417"/>
        <w:gridCol w:w="737"/>
        <w:gridCol w:w="737"/>
        <w:gridCol w:w="737"/>
        <w:gridCol w:w="737"/>
      </w:tblGrid>
      <w:tr w:rsidR="00CF22D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color w:val="000000"/>
                <w:sz w:val="24"/>
                <w:szCs w:val="24"/>
              </w:rPr>
              <w:t>108</w:t>
            </w:r>
            <w:r>
              <w:rPr>
                <w:rFonts w:ascii="仿宋" w:eastAsia="仿宋" w:hAnsi="仿宋" w:cs="仿宋" w:hint="eastAsia"/>
                <w:color w:val="000000"/>
                <w:sz w:val="24"/>
                <w:szCs w:val="24"/>
              </w:rPr>
              <w:t>霸州市行政</w:t>
            </w:r>
            <w:proofErr w:type="gramStart"/>
            <w:r>
              <w:rPr>
                <w:rFonts w:ascii="仿宋" w:eastAsia="仿宋" w:hAnsi="仿宋" w:cs="仿宋" w:hint="eastAsia"/>
                <w:color w:val="000000"/>
                <w:sz w:val="24"/>
                <w:szCs w:val="24"/>
              </w:rPr>
              <w:t>审批局</w:t>
            </w:r>
            <w:proofErr w:type="gramEnd"/>
          </w:p>
        </w:tc>
        <w:tc>
          <w:tcPr>
            <w:tcW w:w="2948" w:type="dxa"/>
            <w:gridSpan w:val="4"/>
            <w:tcBorders>
              <w:top w:val="single" w:sz="6" w:space="0" w:color="FFFFFF"/>
              <w:left w:val="single" w:sz="6" w:space="0" w:color="FFFFFF"/>
              <w:right w:val="single" w:sz="6" w:space="0" w:color="FFFFFF"/>
            </w:tcBorders>
            <w:vAlign w:val="center"/>
          </w:tcPr>
          <w:p w:rsidR="00CF22DA" w:rsidRDefault="003C7427">
            <w:pPr>
              <w:spacing w:line="300" w:lineRule="exact"/>
              <w:jc w:val="right"/>
              <w:rPr>
                <w:rFonts w:ascii="仿宋" w:eastAsia="仿宋" w:hAnsi="仿宋" w:cs="仿宋"/>
                <w:sz w:val="24"/>
                <w:szCs w:val="24"/>
              </w:rPr>
            </w:pPr>
            <w:r>
              <w:rPr>
                <w:rFonts w:ascii="仿宋" w:eastAsia="仿宋" w:hAnsi="仿宋" w:cs="仿宋" w:hint="eastAsia"/>
                <w:sz w:val="24"/>
                <w:szCs w:val="24"/>
              </w:rPr>
              <w:t>单位：万元</w:t>
            </w:r>
          </w:p>
        </w:tc>
      </w:tr>
      <w:tr w:rsidR="00CF22DA">
        <w:trPr>
          <w:trHeight w:val="227"/>
          <w:tblHeader/>
          <w:jc w:val="center"/>
        </w:trPr>
        <w:tc>
          <w:tcPr>
            <w:tcW w:w="2341" w:type="dxa"/>
            <w:vMerge w:val="restart"/>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职责活动</w:t>
            </w:r>
          </w:p>
        </w:tc>
        <w:tc>
          <w:tcPr>
            <w:tcW w:w="1007" w:type="dxa"/>
            <w:vMerge w:val="restart"/>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年度预算数</w:t>
            </w:r>
          </w:p>
        </w:tc>
        <w:tc>
          <w:tcPr>
            <w:tcW w:w="3245" w:type="dxa"/>
            <w:vMerge w:val="restart"/>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内容描述</w:t>
            </w:r>
          </w:p>
        </w:tc>
        <w:tc>
          <w:tcPr>
            <w:tcW w:w="2976" w:type="dxa"/>
            <w:vMerge w:val="restart"/>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绩效目标</w:t>
            </w:r>
          </w:p>
        </w:tc>
        <w:tc>
          <w:tcPr>
            <w:tcW w:w="1417" w:type="dxa"/>
            <w:vMerge w:val="restart"/>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绩效指标</w:t>
            </w:r>
          </w:p>
        </w:tc>
        <w:tc>
          <w:tcPr>
            <w:tcW w:w="2948" w:type="dxa"/>
            <w:gridSpan w:val="4"/>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评价标准</w:t>
            </w:r>
          </w:p>
        </w:tc>
      </w:tr>
      <w:tr w:rsidR="00CF22DA">
        <w:trPr>
          <w:trHeight w:val="227"/>
          <w:tblHeader/>
          <w:jc w:val="center"/>
        </w:trPr>
        <w:tc>
          <w:tcPr>
            <w:tcW w:w="2341" w:type="dxa"/>
            <w:vMerge/>
            <w:vAlign w:val="center"/>
          </w:tcPr>
          <w:p w:rsidR="00CF22DA" w:rsidRDefault="00CF22DA">
            <w:pPr>
              <w:spacing w:line="300" w:lineRule="exact"/>
              <w:jc w:val="left"/>
              <w:outlineLvl w:val="0"/>
              <w:rPr>
                <w:rFonts w:ascii="仿宋" w:eastAsia="仿宋" w:hAnsi="仿宋" w:cs="仿宋"/>
                <w:sz w:val="24"/>
                <w:szCs w:val="24"/>
              </w:rPr>
            </w:pPr>
          </w:p>
        </w:tc>
        <w:tc>
          <w:tcPr>
            <w:tcW w:w="1007" w:type="dxa"/>
            <w:vMerge/>
            <w:vAlign w:val="center"/>
          </w:tcPr>
          <w:p w:rsidR="00CF22DA" w:rsidRDefault="00CF22DA">
            <w:pPr>
              <w:spacing w:line="300" w:lineRule="exact"/>
              <w:jc w:val="left"/>
              <w:outlineLvl w:val="0"/>
              <w:rPr>
                <w:rFonts w:ascii="仿宋" w:eastAsia="仿宋" w:hAnsi="仿宋" w:cs="仿宋"/>
                <w:sz w:val="24"/>
                <w:szCs w:val="24"/>
              </w:rPr>
            </w:pPr>
          </w:p>
        </w:tc>
        <w:tc>
          <w:tcPr>
            <w:tcW w:w="3245" w:type="dxa"/>
            <w:vMerge/>
            <w:vAlign w:val="center"/>
          </w:tcPr>
          <w:p w:rsidR="00CF22DA" w:rsidRDefault="00CF22DA">
            <w:pPr>
              <w:spacing w:line="300" w:lineRule="exact"/>
              <w:jc w:val="left"/>
              <w:outlineLvl w:val="0"/>
              <w:rPr>
                <w:rFonts w:ascii="仿宋" w:eastAsia="仿宋" w:hAnsi="仿宋" w:cs="仿宋"/>
                <w:sz w:val="24"/>
                <w:szCs w:val="24"/>
              </w:rPr>
            </w:pPr>
          </w:p>
        </w:tc>
        <w:tc>
          <w:tcPr>
            <w:tcW w:w="2976" w:type="dxa"/>
            <w:vMerge/>
            <w:vAlign w:val="center"/>
          </w:tcPr>
          <w:p w:rsidR="00CF22DA" w:rsidRDefault="00CF22DA">
            <w:pPr>
              <w:spacing w:line="300" w:lineRule="exact"/>
              <w:jc w:val="left"/>
              <w:outlineLvl w:val="0"/>
              <w:rPr>
                <w:rFonts w:ascii="仿宋" w:eastAsia="仿宋" w:hAnsi="仿宋" w:cs="仿宋"/>
                <w:sz w:val="24"/>
                <w:szCs w:val="24"/>
              </w:rPr>
            </w:pPr>
          </w:p>
        </w:tc>
        <w:tc>
          <w:tcPr>
            <w:tcW w:w="1417" w:type="dxa"/>
            <w:vMerge/>
            <w:vAlign w:val="center"/>
          </w:tcPr>
          <w:p w:rsidR="00CF22DA" w:rsidRDefault="00CF22DA">
            <w:pPr>
              <w:spacing w:line="300" w:lineRule="exact"/>
              <w:jc w:val="left"/>
              <w:outlineLvl w:val="0"/>
              <w:rPr>
                <w:rFonts w:ascii="仿宋" w:eastAsia="仿宋" w:hAnsi="仿宋" w:cs="仿宋"/>
                <w:sz w:val="24"/>
                <w:szCs w:val="24"/>
              </w:rPr>
            </w:pP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优</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良</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中</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差</w:t>
            </w:r>
          </w:p>
        </w:tc>
      </w:tr>
      <w:tr w:rsidR="00CF22DA">
        <w:trPr>
          <w:trHeight w:val="227"/>
          <w:jc w:val="center"/>
        </w:trPr>
        <w:tc>
          <w:tcPr>
            <w:tcW w:w="2341"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行政审批及便民服务监督管理工作</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综合协调市级各部门审批服务事项、便民服务事项的集中办理工作；会同有关部门拟定审批服务、便民服务的规章制度、管理办法、工作规则和工作流程并监督实施；承担中心信息网络系统建设、业务培训和运行管理工作；对中心各窗口、进驻机构及其工作人员进行日常管理和考核；受理中心相关投诉，并按有关规定进行处理；协调、指导乡镇便民服务中心规范化建设，实现县、乡、村三级平台网络对接；会同纪检监察部门对中心各窗口、进驻机构的审批服务、便民服务等服务行为进行监督检查。</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按照市委、市政府的工作要求，不断深化管理职能，创新服务方式，努力打造</w:t>
            </w:r>
            <w:r>
              <w:rPr>
                <w:rFonts w:ascii="仿宋" w:eastAsia="仿宋" w:hAnsi="仿宋" w:cs="仿宋" w:hint="eastAsia"/>
                <w:sz w:val="24"/>
                <w:szCs w:val="24"/>
              </w:rPr>
              <w:t>“便民、高效、规范、廉洁”的政务服务平台。</w:t>
            </w:r>
          </w:p>
        </w:tc>
        <w:tc>
          <w:tcPr>
            <w:tcW w:w="1417" w:type="dxa"/>
            <w:vAlign w:val="center"/>
          </w:tcPr>
          <w:p w:rsidR="00CF22DA" w:rsidRDefault="00CF22DA">
            <w:pPr>
              <w:spacing w:line="300" w:lineRule="exact"/>
              <w:jc w:val="left"/>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r>
      <w:tr w:rsidR="00CF22DA">
        <w:trPr>
          <w:trHeight w:val="227"/>
          <w:jc w:val="center"/>
        </w:trPr>
        <w:tc>
          <w:tcPr>
            <w:tcW w:w="2341"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政务服务</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加强三级服务平台建设，推行“两个代办”；简政放权，做好取消下放事项的衔接；大力</w:t>
            </w:r>
            <w:proofErr w:type="gramStart"/>
            <w:r>
              <w:rPr>
                <w:rFonts w:ascii="仿宋" w:eastAsia="仿宋" w:hAnsi="仿宋" w:cs="仿宋" w:hint="eastAsia"/>
                <w:sz w:val="24"/>
                <w:szCs w:val="24"/>
              </w:rPr>
              <w:t>推进商</w:t>
            </w:r>
            <w:proofErr w:type="gramEnd"/>
            <w:r>
              <w:rPr>
                <w:rFonts w:ascii="仿宋" w:eastAsia="仿宋" w:hAnsi="仿宋" w:cs="仿宋" w:hint="eastAsia"/>
                <w:sz w:val="24"/>
                <w:szCs w:val="24"/>
              </w:rPr>
              <w:t>事制度改革，释放改革红利；扎实推进项目审批提职提速；继续推进政府服务标准化建设。</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对进驻部门窗口的协调管理和服务；对窗口办</w:t>
            </w:r>
            <w:proofErr w:type="gramStart"/>
            <w:r>
              <w:rPr>
                <w:rFonts w:ascii="仿宋" w:eastAsia="仿宋" w:hAnsi="仿宋" w:cs="仿宋" w:hint="eastAsia"/>
                <w:sz w:val="24"/>
                <w:szCs w:val="24"/>
              </w:rPr>
              <w:t>件情况</w:t>
            </w:r>
            <w:proofErr w:type="gramEnd"/>
            <w:r>
              <w:rPr>
                <w:rFonts w:ascii="仿宋" w:eastAsia="仿宋" w:hAnsi="仿宋" w:cs="仿宋" w:hint="eastAsia"/>
                <w:sz w:val="24"/>
                <w:szCs w:val="24"/>
              </w:rPr>
              <w:t>的督查和统计分析；对涉及多个部门审批事项的组织和协调。对乡镇便民服务站和村街便民服务室的业务指导和监督管理</w:t>
            </w:r>
            <w:r>
              <w:rPr>
                <w:rFonts w:ascii="仿宋" w:eastAsia="仿宋" w:hAnsi="仿宋" w:cs="仿宋"/>
                <w:sz w:val="24"/>
                <w:szCs w:val="24"/>
              </w:rPr>
              <w:t>.</w:t>
            </w:r>
          </w:p>
        </w:tc>
        <w:tc>
          <w:tcPr>
            <w:tcW w:w="1417"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审批、服务事项按时办结率</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99%</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97%</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sz w:val="24"/>
                <w:szCs w:val="24"/>
              </w:rPr>
              <w:t>95%</w:t>
            </w:r>
            <w:r>
              <w:rPr>
                <w:rFonts w:ascii="仿宋" w:eastAsia="仿宋" w:hAnsi="仿宋" w:cs="仿宋" w:hint="eastAsia"/>
                <w:sz w:val="24"/>
                <w:szCs w:val="24"/>
              </w:rPr>
              <w:t>以下</w:t>
            </w:r>
          </w:p>
        </w:tc>
      </w:tr>
      <w:tr w:rsidR="00CF22DA">
        <w:trPr>
          <w:trHeight w:val="227"/>
          <w:jc w:val="center"/>
        </w:trPr>
        <w:tc>
          <w:tcPr>
            <w:tcW w:w="2341"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公共资源交易市场监督管理工作</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负责对我市行政区域内的各类公共资源项目招投标交易活动的重大事项进行领导、决策、协调和管理；根据国家法律、法规和政策规定，指导各监督管理部门制定公共资源交易有关监督管理办法，对全市公共资源交易监督管理工作进行协调。</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进行公开交易、阳光交易，实现公共资源的有效配置，从源头上有效防止暗箱操作及腐败行为的发生</w:t>
            </w:r>
          </w:p>
        </w:tc>
        <w:tc>
          <w:tcPr>
            <w:tcW w:w="1417" w:type="dxa"/>
            <w:vAlign w:val="center"/>
          </w:tcPr>
          <w:p w:rsidR="00CF22DA" w:rsidRDefault="00CF22DA">
            <w:pPr>
              <w:spacing w:line="300" w:lineRule="exact"/>
              <w:jc w:val="left"/>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r>
      <w:tr w:rsidR="00CF22DA">
        <w:trPr>
          <w:trHeight w:val="227"/>
          <w:jc w:val="center"/>
        </w:trPr>
        <w:tc>
          <w:tcPr>
            <w:tcW w:w="2341"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 xml:space="preserve">　　公共资源交易</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按照市委、市政府的要求，将建设、水利、交通工程、政府采购、土地交易、产权交易全部由交易中心统一受理登记，统一在网站进行信息发布、统一交易时间场地安排、统一电子监察。</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建设工程招投标、政府采购、土地和产权交易等公共资源交易活动的组织和服务工作。</w:t>
            </w:r>
          </w:p>
        </w:tc>
        <w:tc>
          <w:tcPr>
            <w:tcW w:w="1417"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进场交易率</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99%</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97%</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sz w:val="24"/>
                <w:szCs w:val="24"/>
              </w:rPr>
              <w:t>95%</w:t>
            </w:r>
            <w:r>
              <w:rPr>
                <w:rFonts w:ascii="仿宋" w:eastAsia="仿宋" w:hAnsi="仿宋" w:cs="仿宋" w:hint="eastAsia"/>
                <w:sz w:val="24"/>
                <w:szCs w:val="24"/>
              </w:rPr>
              <w:t>以下</w:t>
            </w:r>
          </w:p>
        </w:tc>
      </w:tr>
      <w:tr w:rsidR="00CF22DA">
        <w:trPr>
          <w:trHeight w:val="227"/>
          <w:jc w:val="center"/>
        </w:trPr>
        <w:tc>
          <w:tcPr>
            <w:tcW w:w="2341"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机关后勤保障等综</w:t>
            </w:r>
            <w:r>
              <w:rPr>
                <w:rFonts w:ascii="仿宋" w:eastAsia="仿宋" w:hAnsi="仿宋" w:cs="仿宋" w:hint="eastAsia"/>
                <w:sz w:val="24"/>
                <w:szCs w:val="24"/>
              </w:rPr>
              <w:lastRenderedPageBreak/>
              <w:t>合事务管理工作</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按照有关要求</w:t>
            </w:r>
            <w:r>
              <w:rPr>
                <w:rFonts w:ascii="仿宋" w:eastAsia="仿宋" w:hAnsi="仿宋" w:cs="仿宋"/>
                <w:sz w:val="24"/>
                <w:szCs w:val="24"/>
              </w:rPr>
              <w:t>,</w:t>
            </w:r>
            <w:r>
              <w:rPr>
                <w:rFonts w:ascii="仿宋" w:eastAsia="仿宋" w:hAnsi="仿宋" w:cs="仿宋" w:hint="eastAsia"/>
                <w:sz w:val="24"/>
                <w:szCs w:val="24"/>
              </w:rPr>
              <w:t>做好办公设施</w:t>
            </w:r>
            <w:r>
              <w:rPr>
                <w:rFonts w:ascii="仿宋" w:eastAsia="仿宋" w:hAnsi="仿宋" w:cs="仿宋" w:hint="eastAsia"/>
                <w:sz w:val="24"/>
                <w:szCs w:val="24"/>
              </w:rPr>
              <w:lastRenderedPageBreak/>
              <w:t>的维修、维护工作；协调各股室工作，负责日常事务管理等工作。</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lastRenderedPageBreak/>
              <w:t>负责日常事务管理、后勤管</w:t>
            </w:r>
            <w:r>
              <w:rPr>
                <w:rFonts w:ascii="仿宋" w:eastAsia="仿宋" w:hAnsi="仿宋" w:cs="仿宋" w:hint="eastAsia"/>
                <w:sz w:val="24"/>
                <w:szCs w:val="24"/>
              </w:rPr>
              <w:lastRenderedPageBreak/>
              <w:t>理以及上级部门交办的其他事项</w:t>
            </w:r>
          </w:p>
        </w:tc>
        <w:tc>
          <w:tcPr>
            <w:tcW w:w="1417" w:type="dxa"/>
            <w:vAlign w:val="center"/>
          </w:tcPr>
          <w:p w:rsidR="00CF22DA" w:rsidRDefault="00CF22DA">
            <w:pPr>
              <w:spacing w:line="300" w:lineRule="exact"/>
              <w:jc w:val="left"/>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c>
          <w:tcPr>
            <w:tcW w:w="737" w:type="dxa"/>
            <w:vAlign w:val="center"/>
          </w:tcPr>
          <w:p w:rsidR="00CF22DA" w:rsidRDefault="00CF22DA">
            <w:pPr>
              <w:spacing w:line="300" w:lineRule="exact"/>
              <w:jc w:val="center"/>
              <w:rPr>
                <w:rFonts w:ascii="仿宋" w:eastAsia="仿宋" w:hAnsi="仿宋" w:cs="仿宋"/>
                <w:sz w:val="24"/>
                <w:szCs w:val="24"/>
              </w:rPr>
            </w:pPr>
          </w:p>
        </w:tc>
      </w:tr>
      <w:tr w:rsidR="00CF22DA">
        <w:trPr>
          <w:trHeight w:val="227"/>
          <w:jc w:val="center"/>
        </w:trPr>
        <w:tc>
          <w:tcPr>
            <w:tcW w:w="2341"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lastRenderedPageBreak/>
              <w:t xml:space="preserve">　　综合事务管理</w:t>
            </w:r>
          </w:p>
        </w:tc>
        <w:tc>
          <w:tcPr>
            <w:tcW w:w="1007" w:type="dxa"/>
            <w:vAlign w:val="center"/>
          </w:tcPr>
          <w:p w:rsidR="00CF22DA" w:rsidRDefault="00CF22DA">
            <w:pPr>
              <w:spacing w:line="300" w:lineRule="exact"/>
              <w:jc w:val="left"/>
              <w:rPr>
                <w:rFonts w:ascii="仿宋" w:eastAsia="仿宋" w:hAnsi="仿宋" w:cs="仿宋"/>
                <w:sz w:val="24"/>
                <w:szCs w:val="24"/>
              </w:rPr>
            </w:pPr>
          </w:p>
        </w:tc>
        <w:tc>
          <w:tcPr>
            <w:tcW w:w="3245"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负责日常办公、网络系统建设、网络维护、接待、财务、资产管理维护、宣传、印刷、办公楼房租、物业、修缮、供水供电，安全保卫。</w:t>
            </w:r>
          </w:p>
        </w:tc>
        <w:tc>
          <w:tcPr>
            <w:tcW w:w="2976"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保证日常工作正常运转</w:t>
            </w:r>
          </w:p>
        </w:tc>
        <w:tc>
          <w:tcPr>
            <w:tcW w:w="1417" w:type="dxa"/>
            <w:vAlign w:val="center"/>
          </w:tcPr>
          <w:p w:rsidR="00CF22DA" w:rsidRDefault="003C7427">
            <w:pPr>
              <w:spacing w:line="300" w:lineRule="exact"/>
              <w:jc w:val="left"/>
              <w:rPr>
                <w:rFonts w:ascii="仿宋" w:eastAsia="仿宋" w:hAnsi="仿宋" w:cs="仿宋"/>
                <w:sz w:val="24"/>
                <w:szCs w:val="24"/>
              </w:rPr>
            </w:pPr>
            <w:r>
              <w:rPr>
                <w:rFonts w:ascii="仿宋" w:eastAsia="仿宋" w:hAnsi="仿宋" w:cs="仿宋" w:hint="eastAsia"/>
                <w:sz w:val="24"/>
                <w:szCs w:val="24"/>
              </w:rPr>
              <w:t>正常运转率</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sz w:val="24"/>
                <w:szCs w:val="24"/>
              </w:rPr>
              <w:t>100%</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90%</w:t>
            </w:r>
          </w:p>
        </w:tc>
        <w:tc>
          <w:tcPr>
            <w:tcW w:w="737" w:type="dxa"/>
            <w:vAlign w:val="center"/>
          </w:tcPr>
          <w:p w:rsidR="00CF22DA" w:rsidRDefault="003C7427">
            <w:pPr>
              <w:spacing w:line="300" w:lineRule="exact"/>
              <w:jc w:val="center"/>
              <w:rPr>
                <w:rFonts w:ascii="仿宋" w:eastAsia="仿宋" w:hAnsi="仿宋" w:cs="仿宋"/>
                <w:sz w:val="24"/>
                <w:szCs w:val="24"/>
              </w:rPr>
            </w:pPr>
            <w:r>
              <w:rPr>
                <w:rFonts w:ascii="仿宋" w:eastAsia="仿宋" w:hAnsi="仿宋" w:cs="仿宋"/>
                <w:sz w:val="24"/>
                <w:szCs w:val="24"/>
              </w:rPr>
              <w:t>90%</w:t>
            </w:r>
            <w:r>
              <w:rPr>
                <w:rFonts w:ascii="仿宋" w:eastAsia="仿宋" w:hAnsi="仿宋" w:cs="仿宋" w:hint="eastAsia"/>
                <w:sz w:val="24"/>
                <w:szCs w:val="24"/>
              </w:rPr>
              <w:t>以下</w:t>
            </w:r>
          </w:p>
        </w:tc>
      </w:tr>
    </w:tbl>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六、政府采购预算情况</w:t>
      </w:r>
    </w:p>
    <w:p w:rsidR="00FA7B12" w:rsidRDefault="00FA7B12" w:rsidP="00FA7B12">
      <w:pPr>
        <w:ind w:firstLineChars="200" w:firstLine="640"/>
        <w:outlineLvl w:val="0"/>
        <w:rPr>
          <w:rFonts w:ascii="仿宋" w:eastAsia="仿宋" w:hAnsi="仿宋" w:cs="仿宋" w:hint="eastAsia"/>
          <w:color w:val="000000"/>
          <w:sz w:val="32"/>
          <w:szCs w:val="32"/>
        </w:rPr>
      </w:pPr>
      <w:bookmarkStart w:id="1" w:name="_Toc471398468"/>
      <w:r>
        <w:rPr>
          <w:rFonts w:ascii="仿宋" w:eastAsia="仿宋" w:hAnsi="仿宋" w:cs="仿宋"/>
          <w:color w:val="000000"/>
          <w:sz w:val="32"/>
          <w:szCs w:val="32"/>
        </w:rPr>
        <w:t>2018</w:t>
      </w:r>
      <w:r>
        <w:rPr>
          <w:rFonts w:ascii="仿宋" w:eastAsia="仿宋" w:hAnsi="仿宋" w:cs="仿宋" w:hint="eastAsia"/>
          <w:color w:val="000000"/>
          <w:sz w:val="32"/>
          <w:szCs w:val="32"/>
        </w:rPr>
        <w:t>年，</w:t>
      </w:r>
      <w:proofErr w:type="gramStart"/>
      <w:r>
        <w:rPr>
          <w:rFonts w:ascii="仿宋" w:eastAsia="仿宋" w:hAnsi="仿宋" w:cs="仿宋" w:hint="eastAsia"/>
          <w:color w:val="000000"/>
          <w:sz w:val="32"/>
          <w:szCs w:val="32"/>
        </w:rPr>
        <w:t>我部门</w:t>
      </w:r>
      <w:proofErr w:type="gramEnd"/>
      <w:r>
        <w:rPr>
          <w:rFonts w:ascii="仿宋" w:eastAsia="仿宋" w:hAnsi="仿宋" w:cs="仿宋" w:hint="eastAsia"/>
          <w:color w:val="000000"/>
          <w:sz w:val="32"/>
          <w:szCs w:val="32"/>
        </w:rPr>
        <w:t>安排政府采购预算</w:t>
      </w:r>
      <w:r w:rsidR="00F1358F">
        <w:rPr>
          <w:rFonts w:ascii="仿宋" w:eastAsia="仿宋" w:hAnsi="仿宋" w:cs="仿宋" w:hint="eastAsia"/>
          <w:color w:val="000000"/>
          <w:sz w:val="32"/>
          <w:szCs w:val="32"/>
        </w:rPr>
        <w:t>903.19</w:t>
      </w:r>
      <w:r>
        <w:rPr>
          <w:rFonts w:ascii="仿宋" w:eastAsia="仿宋" w:hAnsi="仿宋" w:cs="仿宋" w:hint="eastAsia"/>
          <w:color w:val="000000"/>
          <w:sz w:val="32"/>
          <w:szCs w:val="32"/>
        </w:rPr>
        <w:t>万元。具体内容见下表。</w:t>
      </w:r>
      <w:bookmarkStart w:id="2" w:name="_Toc506301258"/>
    </w:p>
    <w:p w:rsidR="00FA7B12" w:rsidRDefault="00FA7B12" w:rsidP="00CA3B76">
      <w:pPr>
        <w:jc w:val="center"/>
        <w:outlineLvl w:val="0"/>
        <w:rPr>
          <w:rFonts w:ascii="方正小标宋_GBK" w:eastAsia="方正小标宋_GBK" w:hint="eastAsia"/>
          <w:sz w:val="32"/>
        </w:rPr>
      </w:pPr>
      <w:r w:rsidRPr="008159E3">
        <w:rPr>
          <w:rFonts w:ascii="方正小标宋_GBK" w:eastAsia="方正小标宋_GBK" w:hint="eastAsia"/>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05"/>
        <w:gridCol w:w="1032"/>
        <w:gridCol w:w="914"/>
        <w:gridCol w:w="925"/>
        <w:gridCol w:w="713"/>
        <w:gridCol w:w="713"/>
        <w:gridCol w:w="859"/>
        <w:gridCol w:w="903"/>
        <w:gridCol w:w="903"/>
        <w:gridCol w:w="904"/>
        <w:gridCol w:w="904"/>
        <w:gridCol w:w="906"/>
        <w:gridCol w:w="906"/>
        <w:gridCol w:w="865"/>
      </w:tblGrid>
      <w:tr w:rsidR="00FA7B12" w:rsidTr="00BD2156">
        <w:tblPrEx>
          <w:tblCellMar>
            <w:top w:w="0" w:type="dxa"/>
            <w:bottom w:w="0" w:type="dxa"/>
          </w:tblCellMar>
        </w:tblPrEx>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FA7B12" w:rsidRPr="008159E3" w:rsidRDefault="00FA7B12" w:rsidP="00BD2156">
            <w:pPr>
              <w:spacing w:line="300" w:lineRule="exact"/>
              <w:jc w:val="left"/>
              <w:rPr>
                <w:rFonts w:ascii="方正小标宋_GBK" w:eastAsia="方正小标宋_GBK"/>
                <w:sz w:val="24"/>
              </w:rPr>
            </w:pPr>
            <w:r>
              <w:rPr>
                <w:rFonts w:ascii="方正小标宋_GBK" w:eastAsia="方正小标宋_GBK" w:hint="eastAsia"/>
                <w:sz w:val="24"/>
              </w:rPr>
              <w:t>108霸州市行政</w:t>
            </w:r>
            <w:proofErr w:type="gramStart"/>
            <w:r>
              <w:rPr>
                <w:rFonts w:ascii="方正小标宋_GBK" w:eastAsia="方正小标宋_GBK" w:hint="eastAsia"/>
                <w:sz w:val="24"/>
              </w:rPr>
              <w:t>审批局</w:t>
            </w:r>
            <w:proofErr w:type="gramEnd"/>
          </w:p>
        </w:tc>
        <w:tc>
          <w:tcPr>
            <w:tcW w:w="2298" w:type="pct"/>
            <w:gridSpan w:val="7"/>
            <w:tcBorders>
              <w:top w:val="single" w:sz="6" w:space="0" w:color="FFFFFF"/>
              <w:left w:val="single" w:sz="6" w:space="0" w:color="FFFFFF"/>
              <w:right w:val="single" w:sz="6" w:space="0" w:color="FFFFFF"/>
            </w:tcBorders>
            <w:shd w:val="clear" w:color="auto" w:fill="auto"/>
            <w:vAlign w:val="center"/>
          </w:tcPr>
          <w:p w:rsidR="00FA7B12" w:rsidRPr="008159E3" w:rsidRDefault="00FA7B12" w:rsidP="00BD2156">
            <w:pPr>
              <w:spacing w:line="300" w:lineRule="exact"/>
              <w:jc w:val="right"/>
              <w:rPr>
                <w:rFonts w:ascii="方正书宋_GBK" w:eastAsia="方正书宋_GBK"/>
                <w:sz w:val="24"/>
              </w:rPr>
            </w:pPr>
            <w:r>
              <w:rPr>
                <w:rFonts w:ascii="方正书宋_GBK" w:eastAsia="方正书宋_GBK" w:hint="eastAsia"/>
                <w:sz w:val="24"/>
              </w:rPr>
              <w:t>单位：万元</w:t>
            </w:r>
          </w:p>
        </w:tc>
      </w:tr>
      <w:tr w:rsidR="00FA7B12" w:rsidTr="00BD2156">
        <w:tblPrEx>
          <w:tblCellMar>
            <w:top w:w="0" w:type="dxa"/>
            <w:bottom w:w="0" w:type="dxa"/>
          </w:tblCellMar>
        </w:tblPrEx>
        <w:trPr>
          <w:tblHeader/>
          <w:jc w:val="center"/>
        </w:trPr>
        <w:tc>
          <w:tcPr>
            <w:tcW w:w="1217" w:type="pct"/>
            <w:gridSpan w:val="2"/>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政府采购金额</w:t>
            </w:r>
          </w:p>
        </w:tc>
      </w:tr>
      <w:tr w:rsidR="00FA7B12" w:rsidTr="00BD2156">
        <w:tblPrEx>
          <w:tblCellMar>
            <w:top w:w="0" w:type="dxa"/>
            <w:bottom w:w="0" w:type="dxa"/>
          </w:tblCellMar>
        </w:tblPrEx>
        <w:trPr>
          <w:tblHeader/>
          <w:jc w:val="center"/>
        </w:trPr>
        <w:tc>
          <w:tcPr>
            <w:tcW w:w="840"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shd w:val="clear" w:color="auto" w:fill="auto"/>
            <w:vAlign w:val="center"/>
          </w:tcPr>
          <w:p w:rsidR="00FA7B12" w:rsidRDefault="00FA7B12" w:rsidP="00BD2156">
            <w:pPr>
              <w:spacing w:line="300" w:lineRule="exact"/>
              <w:jc w:val="left"/>
              <w:outlineLvl w:val="0"/>
            </w:pPr>
          </w:p>
        </w:tc>
        <w:tc>
          <w:tcPr>
            <w:tcW w:w="338" w:type="pct"/>
            <w:vMerge/>
            <w:shd w:val="clear" w:color="auto" w:fill="auto"/>
            <w:vAlign w:val="center"/>
          </w:tcPr>
          <w:p w:rsidR="00FA7B12" w:rsidRDefault="00FA7B12" w:rsidP="00BD2156">
            <w:pPr>
              <w:spacing w:line="300" w:lineRule="exact"/>
              <w:jc w:val="left"/>
              <w:outlineLvl w:val="0"/>
            </w:pPr>
          </w:p>
        </w:tc>
        <w:tc>
          <w:tcPr>
            <w:tcW w:w="261" w:type="pct"/>
            <w:vMerge/>
            <w:shd w:val="clear" w:color="auto" w:fill="auto"/>
            <w:vAlign w:val="center"/>
          </w:tcPr>
          <w:p w:rsidR="00FA7B12" w:rsidRDefault="00FA7B12" w:rsidP="00BD2156">
            <w:pPr>
              <w:spacing w:line="300" w:lineRule="exact"/>
              <w:jc w:val="left"/>
              <w:outlineLvl w:val="0"/>
            </w:pPr>
          </w:p>
        </w:tc>
        <w:tc>
          <w:tcPr>
            <w:tcW w:w="261" w:type="pct"/>
            <w:vMerge/>
            <w:shd w:val="clear" w:color="auto" w:fill="auto"/>
            <w:vAlign w:val="center"/>
          </w:tcPr>
          <w:p w:rsidR="00FA7B12" w:rsidRDefault="00FA7B12" w:rsidP="00BD2156">
            <w:pPr>
              <w:spacing w:line="300" w:lineRule="exact"/>
              <w:jc w:val="left"/>
              <w:outlineLvl w:val="0"/>
            </w:pPr>
          </w:p>
        </w:tc>
        <w:tc>
          <w:tcPr>
            <w:tcW w:w="290" w:type="pct"/>
            <w:vMerge/>
            <w:shd w:val="clear" w:color="auto" w:fill="auto"/>
            <w:vAlign w:val="center"/>
          </w:tcPr>
          <w:p w:rsidR="00FA7B12" w:rsidRDefault="00FA7B12" w:rsidP="00BD2156">
            <w:pPr>
              <w:spacing w:line="300" w:lineRule="exact"/>
              <w:jc w:val="left"/>
              <w:outlineLvl w:val="0"/>
            </w:pPr>
          </w:p>
        </w:tc>
        <w:tc>
          <w:tcPr>
            <w:tcW w:w="330"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其他渠道资金</w:t>
            </w:r>
          </w:p>
        </w:tc>
      </w:tr>
      <w:tr w:rsidR="00FA7B12" w:rsidTr="00BD2156">
        <w:tblPrEx>
          <w:tblCellMar>
            <w:top w:w="0" w:type="dxa"/>
            <w:bottom w:w="0" w:type="dxa"/>
          </w:tblCellMar>
        </w:tblPrEx>
        <w:trPr>
          <w:tblHeader/>
          <w:jc w:val="center"/>
        </w:trPr>
        <w:tc>
          <w:tcPr>
            <w:tcW w:w="840" w:type="pct"/>
            <w:vMerge/>
            <w:shd w:val="clear" w:color="auto" w:fill="auto"/>
            <w:vAlign w:val="center"/>
          </w:tcPr>
          <w:p w:rsidR="00FA7B12" w:rsidRDefault="00FA7B12" w:rsidP="00BD2156">
            <w:pPr>
              <w:spacing w:line="300" w:lineRule="exact"/>
              <w:jc w:val="left"/>
              <w:outlineLvl w:val="0"/>
            </w:pPr>
          </w:p>
        </w:tc>
        <w:tc>
          <w:tcPr>
            <w:tcW w:w="377" w:type="pct"/>
            <w:vMerge/>
            <w:shd w:val="clear" w:color="auto" w:fill="auto"/>
            <w:vAlign w:val="center"/>
          </w:tcPr>
          <w:p w:rsidR="00FA7B12" w:rsidRDefault="00FA7B12" w:rsidP="00BD2156">
            <w:pPr>
              <w:spacing w:line="300" w:lineRule="exact"/>
              <w:jc w:val="left"/>
              <w:outlineLvl w:val="0"/>
            </w:pPr>
          </w:p>
        </w:tc>
        <w:tc>
          <w:tcPr>
            <w:tcW w:w="334" w:type="pct"/>
            <w:vMerge/>
            <w:shd w:val="clear" w:color="auto" w:fill="auto"/>
            <w:vAlign w:val="center"/>
          </w:tcPr>
          <w:p w:rsidR="00FA7B12" w:rsidRDefault="00FA7B12" w:rsidP="00BD2156">
            <w:pPr>
              <w:spacing w:line="300" w:lineRule="exact"/>
              <w:jc w:val="left"/>
              <w:outlineLvl w:val="0"/>
            </w:pPr>
          </w:p>
        </w:tc>
        <w:tc>
          <w:tcPr>
            <w:tcW w:w="338" w:type="pct"/>
            <w:vMerge/>
            <w:shd w:val="clear" w:color="auto" w:fill="auto"/>
            <w:vAlign w:val="center"/>
          </w:tcPr>
          <w:p w:rsidR="00FA7B12" w:rsidRDefault="00FA7B12" w:rsidP="00BD2156">
            <w:pPr>
              <w:spacing w:line="300" w:lineRule="exact"/>
              <w:jc w:val="left"/>
              <w:outlineLvl w:val="0"/>
            </w:pPr>
          </w:p>
        </w:tc>
        <w:tc>
          <w:tcPr>
            <w:tcW w:w="261" w:type="pct"/>
            <w:vMerge/>
            <w:shd w:val="clear" w:color="auto" w:fill="auto"/>
            <w:vAlign w:val="center"/>
          </w:tcPr>
          <w:p w:rsidR="00FA7B12" w:rsidRDefault="00FA7B12" w:rsidP="00BD2156">
            <w:pPr>
              <w:spacing w:line="300" w:lineRule="exact"/>
              <w:jc w:val="left"/>
              <w:outlineLvl w:val="0"/>
            </w:pPr>
          </w:p>
        </w:tc>
        <w:tc>
          <w:tcPr>
            <w:tcW w:w="261" w:type="pct"/>
            <w:vMerge/>
            <w:shd w:val="clear" w:color="auto" w:fill="auto"/>
            <w:vAlign w:val="center"/>
          </w:tcPr>
          <w:p w:rsidR="00FA7B12" w:rsidRDefault="00FA7B12" w:rsidP="00BD2156">
            <w:pPr>
              <w:spacing w:line="300" w:lineRule="exact"/>
              <w:jc w:val="left"/>
              <w:outlineLvl w:val="0"/>
            </w:pPr>
          </w:p>
        </w:tc>
        <w:tc>
          <w:tcPr>
            <w:tcW w:w="290" w:type="pct"/>
            <w:vMerge/>
            <w:shd w:val="clear" w:color="auto" w:fill="auto"/>
            <w:vAlign w:val="center"/>
          </w:tcPr>
          <w:p w:rsidR="00FA7B12" w:rsidRDefault="00FA7B12" w:rsidP="00BD2156">
            <w:pPr>
              <w:spacing w:line="300" w:lineRule="exact"/>
              <w:jc w:val="left"/>
              <w:outlineLvl w:val="0"/>
            </w:pPr>
          </w:p>
        </w:tc>
        <w:tc>
          <w:tcPr>
            <w:tcW w:w="330" w:type="pct"/>
            <w:vMerge/>
            <w:shd w:val="clear" w:color="auto" w:fill="auto"/>
            <w:vAlign w:val="center"/>
          </w:tcPr>
          <w:p w:rsidR="00FA7B12" w:rsidRDefault="00FA7B12" w:rsidP="00BD2156">
            <w:pPr>
              <w:spacing w:line="300" w:lineRule="exact"/>
              <w:jc w:val="left"/>
              <w:outlineLvl w:val="0"/>
            </w:pPr>
          </w:p>
        </w:tc>
        <w:tc>
          <w:tcPr>
            <w:tcW w:w="330" w:type="pc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合计</w:t>
            </w:r>
          </w:p>
        </w:tc>
        <w:tc>
          <w:tcPr>
            <w:tcW w:w="330" w:type="pc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shd w:val="clear" w:color="auto" w:fill="auto"/>
            <w:vAlign w:val="center"/>
          </w:tcPr>
          <w:p w:rsidR="00FA7B12" w:rsidRPr="008159E3" w:rsidRDefault="00FA7B12" w:rsidP="00BD2156">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shd w:val="clear" w:color="auto" w:fill="auto"/>
            <w:vAlign w:val="center"/>
          </w:tcPr>
          <w:p w:rsidR="00FA7B12" w:rsidRDefault="00FA7B12" w:rsidP="00BD2156">
            <w:pPr>
              <w:spacing w:line="300" w:lineRule="exact"/>
              <w:jc w:val="left"/>
              <w:outlineLvl w:val="0"/>
            </w:pPr>
          </w:p>
        </w:tc>
      </w:tr>
      <w:tr w:rsidR="00FA7B12" w:rsidTr="00BD2156">
        <w:tblPrEx>
          <w:tblCellMar>
            <w:top w:w="0" w:type="dxa"/>
            <w:bottom w:w="0" w:type="dxa"/>
          </w:tblCellMar>
        </w:tblPrEx>
        <w:trPr>
          <w:jc w:val="center"/>
        </w:trPr>
        <w:tc>
          <w:tcPr>
            <w:tcW w:w="840" w:type="pct"/>
            <w:shd w:val="clear" w:color="auto" w:fill="auto"/>
            <w:vAlign w:val="center"/>
          </w:tcPr>
          <w:p w:rsidR="00FA7B12" w:rsidRPr="008159E3" w:rsidRDefault="00FA7B12" w:rsidP="00BD2156">
            <w:pPr>
              <w:spacing w:line="300" w:lineRule="exact"/>
              <w:jc w:val="center"/>
              <w:rPr>
                <w:rFonts w:ascii="方正书宋_GBK" w:eastAsia="方正书宋_GBK"/>
                <w:b/>
              </w:rPr>
            </w:pPr>
            <w:r w:rsidRPr="008159E3">
              <w:rPr>
                <w:rFonts w:ascii="方正书宋_GBK" w:eastAsia="方正书宋_GBK" w:hint="eastAsia"/>
                <w:b/>
              </w:rPr>
              <w:t>合　计</w:t>
            </w:r>
          </w:p>
        </w:tc>
        <w:tc>
          <w:tcPr>
            <w:tcW w:w="377"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4"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338"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26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290"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b/>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Pr="008159E3" w:rsidRDefault="00FA7B12" w:rsidP="00BD2156">
            <w:pPr>
              <w:spacing w:line="300" w:lineRule="exact"/>
              <w:jc w:val="center"/>
              <w:rPr>
                <w:rFonts w:ascii="方正书宋_GBK" w:eastAsia="方正书宋_GBK" w:hint="eastAsia"/>
                <w:b/>
              </w:rPr>
            </w:pPr>
            <w:r w:rsidRPr="008159E3">
              <w:rPr>
                <w:rFonts w:ascii="方正书宋_GBK" w:eastAsia="方正书宋_GBK" w:hint="eastAsia"/>
                <w:b/>
              </w:rPr>
              <w:t>霸州市行政</w:t>
            </w:r>
            <w:proofErr w:type="gramStart"/>
            <w:r w:rsidRPr="008159E3">
              <w:rPr>
                <w:rFonts w:ascii="方正书宋_GBK" w:eastAsia="方正书宋_GBK" w:hint="eastAsia"/>
                <w:b/>
              </w:rPr>
              <w:t>审批局</w:t>
            </w:r>
            <w:proofErr w:type="gramEnd"/>
            <w:r w:rsidRPr="008159E3">
              <w:rPr>
                <w:rFonts w:ascii="方正书宋_GBK" w:eastAsia="方正书宋_GBK" w:hint="eastAsia"/>
                <w:b/>
              </w:rPr>
              <w:t>小计</w:t>
            </w:r>
          </w:p>
        </w:tc>
        <w:tc>
          <w:tcPr>
            <w:tcW w:w="377"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4"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338"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b/>
              </w:rPr>
            </w:pPr>
          </w:p>
        </w:tc>
        <w:tc>
          <w:tcPr>
            <w:tcW w:w="26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290"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r w:rsidRPr="008159E3">
              <w:rPr>
                <w:rFonts w:ascii="方正书宋_GBK" w:eastAsia="方正书宋_GBK"/>
                <w:b/>
              </w:rPr>
              <w:t>903.19</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b/>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b/>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lastRenderedPageBreak/>
              <w:t>政务服务平台软件维护费</w:t>
            </w:r>
          </w:p>
        </w:tc>
        <w:tc>
          <w:tcPr>
            <w:tcW w:w="377" w:type="pct"/>
            <w:shd w:val="clear" w:color="auto" w:fill="auto"/>
            <w:vAlign w:val="center"/>
          </w:tcPr>
          <w:p w:rsidR="00FA7B12" w:rsidRPr="008159E3" w:rsidRDefault="00FA7B12" w:rsidP="00BD2156">
            <w:pPr>
              <w:spacing w:line="300" w:lineRule="exact"/>
              <w:jc w:val="right"/>
              <w:rPr>
                <w:rFonts w:ascii="方正书宋_GBK" w:eastAsia="方正书宋_GBK"/>
              </w:rPr>
            </w:pPr>
            <w:r>
              <w:rPr>
                <w:rFonts w:ascii="方正书宋_GBK" w:eastAsia="方正书宋_GBK"/>
              </w:rPr>
              <w:t>7.80</w:t>
            </w:r>
          </w:p>
        </w:tc>
        <w:tc>
          <w:tcPr>
            <w:tcW w:w="334" w:type="pct"/>
            <w:shd w:val="clear" w:color="auto" w:fill="auto"/>
            <w:vAlign w:val="center"/>
          </w:tcPr>
          <w:p w:rsidR="00FA7B12" w:rsidRPr="008159E3" w:rsidRDefault="00FA7B12" w:rsidP="00BD2156">
            <w:pPr>
              <w:spacing w:line="300" w:lineRule="exact"/>
              <w:jc w:val="left"/>
              <w:rPr>
                <w:rFonts w:ascii="方正书宋_GBK" w:eastAsia="方正书宋_GBK"/>
              </w:rPr>
            </w:pPr>
            <w:r>
              <w:rPr>
                <w:rFonts w:ascii="方正书宋_GBK" w:eastAsia="方正书宋_GBK" w:hint="eastAsia"/>
              </w:rPr>
              <w:t>运行维护服务</w:t>
            </w:r>
          </w:p>
        </w:tc>
        <w:tc>
          <w:tcPr>
            <w:tcW w:w="338" w:type="pct"/>
            <w:shd w:val="clear" w:color="auto" w:fill="auto"/>
            <w:vAlign w:val="center"/>
          </w:tcPr>
          <w:p w:rsidR="00FA7B12" w:rsidRPr="008159E3" w:rsidRDefault="00FA7B12" w:rsidP="00BD2156">
            <w:pPr>
              <w:spacing w:line="300" w:lineRule="exact"/>
              <w:jc w:val="left"/>
              <w:rPr>
                <w:rFonts w:ascii="方正书宋_GBK" w:eastAsia="方正书宋_GBK"/>
              </w:rPr>
            </w:pPr>
            <w:r>
              <w:rPr>
                <w:rFonts w:ascii="方正书宋_GBK" w:eastAsia="方正书宋_GBK"/>
              </w:rPr>
              <w:t>C0206</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Pr="008159E3"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Pr="008159E3" w:rsidRDefault="00FA7B12" w:rsidP="00BD2156">
            <w:pPr>
              <w:spacing w:line="300" w:lineRule="exact"/>
              <w:jc w:val="right"/>
              <w:rPr>
                <w:rFonts w:ascii="方正书宋_GBK" w:eastAsia="方正书宋_GBK"/>
              </w:rPr>
            </w:pPr>
            <w:r>
              <w:rPr>
                <w:rFonts w:ascii="方正书宋_GBK" w:eastAsia="方正书宋_GBK"/>
              </w:rPr>
              <w:t>7.80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7.80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7.80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7.80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零成本注册登记工作经费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办公消耗用品及类似物品</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A09</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政务服务大厅设备及中央空调维修费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6.00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车辆设备维修和保养服务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C0503</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档案数字化项目经费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其他服务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C99</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cs"/>
              </w:rPr>
              <w:t>“</w:t>
            </w:r>
            <w:r>
              <w:rPr>
                <w:rFonts w:ascii="方正书宋_GBK" w:eastAsia="方正书宋_GBK" w:hint="eastAsia"/>
              </w:rPr>
              <w:t>互联网</w:t>
            </w:r>
            <w:r>
              <w:rPr>
                <w:rFonts w:ascii="方正书宋_GBK" w:eastAsia="方正书宋_GBK"/>
              </w:rPr>
              <w:t>+</w:t>
            </w:r>
            <w:r>
              <w:rPr>
                <w:rFonts w:ascii="方正书宋_GBK" w:eastAsia="方正书宋_GBK" w:hint="eastAsia"/>
              </w:rPr>
              <w:t>政务服务</w:t>
            </w:r>
            <w:r>
              <w:rPr>
                <w:rFonts w:ascii="方正书宋_GBK" w:eastAsia="方正书宋_GBK" w:hint="cs"/>
              </w:rPr>
              <w:t>”</w:t>
            </w:r>
            <w:r>
              <w:rPr>
                <w:rFonts w:ascii="方正书宋_GBK" w:eastAsia="方正书宋_GBK" w:hint="eastAsia"/>
              </w:rPr>
              <w:t>三级平台软件对接开发费用</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软件开发服务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C0201</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cs"/>
              </w:rPr>
            </w:pPr>
            <w:r>
              <w:rPr>
                <w:rFonts w:ascii="方正书宋_GBK" w:eastAsia="方正书宋_GBK" w:hint="eastAsia"/>
              </w:rPr>
              <w:t>宣传印刷费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16.00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印刷品</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A0802</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政务服务大厅</w:t>
            </w:r>
            <w:proofErr w:type="gramStart"/>
            <w:r>
              <w:rPr>
                <w:rFonts w:ascii="方正书宋_GBK" w:eastAsia="方正书宋_GBK" w:hint="eastAsia"/>
              </w:rPr>
              <w:t>物业费</w:t>
            </w:r>
            <w:proofErr w:type="gramEnd"/>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130.13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物业管理服务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C1204</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130.13</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130.13</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130.13</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130.13</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政务服务大厅及乡镇、村街便民网络光纤费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37.26</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电信和其他信息传输</w:t>
            </w:r>
            <w:r>
              <w:rPr>
                <w:rFonts w:ascii="方正书宋_GBK" w:eastAsia="方正书宋_GBK" w:hint="eastAsia"/>
              </w:rPr>
              <w:lastRenderedPageBreak/>
              <w:t>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lastRenderedPageBreak/>
              <w:t>C03</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37.26</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37.26</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37.26</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37.26</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lastRenderedPageBreak/>
              <w:t>行政审批电子政务平台软硬件升级服务费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30.00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计算机设备及软件</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30.00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村级便民服务大厅视频监控及网络办公系统建设资金</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491.00</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计算机设备及软件</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491.00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491.00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491.00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491.00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计算机设备及软件</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办公消耗用品及类似物品</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A09</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15.00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印刷品</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A0802</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维修和保养服务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C05</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法律服务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C0801</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会计服</w:t>
            </w:r>
            <w:r>
              <w:rPr>
                <w:rFonts w:ascii="方正书宋_GBK" w:eastAsia="方正书宋_GBK" w:hint="eastAsia"/>
              </w:rPr>
              <w:lastRenderedPageBreak/>
              <w:t>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lastRenderedPageBreak/>
              <w:t>C0802</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2.50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lastRenderedPageBreak/>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其他服务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C99</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r w:rsidR="00FA7B12" w:rsidTr="00BD2156">
        <w:tblPrEx>
          <w:tblCellMar>
            <w:top w:w="0" w:type="dxa"/>
            <w:bottom w:w="0" w:type="dxa"/>
          </w:tblCellMar>
        </w:tblPrEx>
        <w:trPr>
          <w:jc w:val="center"/>
        </w:trPr>
        <w:tc>
          <w:tcPr>
            <w:tcW w:w="840"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89.23</w:t>
            </w:r>
          </w:p>
        </w:tc>
        <w:tc>
          <w:tcPr>
            <w:tcW w:w="334" w:type="pct"/>
            <w:shd w:val="clear" w:color="auto" w:fill="auto"/>
            <w:vAlign w:val="center"/>
          </w:tcPr>
          <w:p w:rsidR="00FA7B12" w:rsidRDefault="00FA7B12" w:rsidP="00BD2156">
            <w:pPr>
              <w:spacing w:line="300" w:lineRule="exact"/>
              <w:jc w:val="left"/>
              <w:rPr>
                <w:rFonts w:ascii="方正书宋_GBK" w:eastAsia="方正书宋_GBK" w:hint="eastAsia"/>
              </w:rPr>
            </w:pPr>
            <w:r>
              <w:rPr>
                <w:rFonts w:ascii="方正书宋_GBK" w:eastAsia="方正书宋_GBK" w:hint="eastAsia"/>
              </w:rPr>
              <w:t>其他服务</w:t>
            </w:r>
          </w:p>
        </w:tc>
        <w:tc>
          <w:tcPr>
            <w:tcW w:w="338" w:type="pct"/>
            <w:shd w:val="clear" w:color="auto" w:fill="auto"/>
            <w:vAlign w:val="center"/>
          </w:tcPr>
          <w:p w:rsidR="00FA7B12" w:rsidRDefault="00FA7B12" w:rsidP="00BD2156">
            <w:pPr>
              <w:spacing w:line="300" w:lineRule="exact"/>
              <w:jc w:val="left"/>
              <w:rPr>
                <w:rFonts w:ascii="方正书宋_GBK" w:eastAsia="方正书宋_GBK"/>
              </w:rPr>
            </w:pPr>
            <w:r>
              <w:rPr>
                <w:rFonts w:ascii="方正书宋_GBK" w:eastAsia="方正书宋_GBK"/>
              </w:rPr>
              <w:t>C99</w:t>
            </w:r>
          </w:p>
        </w:tc>
        <w:tc>
          <w:tcPr>
            <w:tcW w:w="261" w:type="pct"/>
            <w:shd w:val="clear" w:color="auto" w:fill="auto"/>
            <w:vAlign w:val="center"/>
          </w:tcPr>
          <w:p w:rsidR="00FA7B12" w:rsidRPr="008159E3" w:rsidRDefault="00FA7B12" w:rsidP="00BD2156">
            <w:pPr>
              <w:spacing w:line="300" w:lineRule="exact"/>
              <w:jc w:val="left"/>
              <w:rPr>
                <w:rFonts w:ascii="方正书宋_GBK" w:eastAsia="方正书宋_GBK"/>
              </w:rPr>
            </w:pPr>
          </w:p>
        </w:tc>
        <w:tc>
          <w:tcPr>
            <w:tcW w:w="261"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FA7B12" w:rsidRDefault="00FA7B12" w:rsidP="00BD2156">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31" w:type="pct"/>
            <w:shd w:val="clear" w:color="auto" w:fill="auto"/>
            <w:vAlign w:val="center"/>
          </w:tcPr>
          <w:p w:rsidR="00FA7B12" w:rsidRPr="008159E3" w:rsidRDefault="00FA7B12" w:rsidP="00BD2156">
            <w:pPr>
              <w:spacing w:line="300" w:lineRule="exact"/>
              <w:jc w:val="right"/>
              <w:rPr>
                <w:rFonts w:ascii="方正书宋_GBK" w:eastAsia="方正书宋_GBK"/>
              </w:rPr>
            </w:pPr>
          </w:p>
        </w:tc>
        <w:tc>
          <w:tcPr>
            <w:tcW w:w="317" w:type="pct"/>
            <w:shd w:val="clear" w:color="auto" w:fill="auto"/>
            <w:vAlign w:val="center"/>
          </w:tcPr>
          <w:p w:rsidR="00FA7B12" w:rsidRPr="008159E3" w:rsidRDefault="00FA7B12" w:rsidP="00BD2156">
            <w:pPr>
              <w:spacing w:line="300" w:lineRule="exact"/>
              <w:jc w:val="right"/>
              <w:rPr>
                <w:rFonts w:ascii="方正书宋_GBK" w:eastAsia="方正书宋_GBK"/>
              </w:rPr>
            </w:pPr>
          </w:p>
        </w:tc>
      </w:tr>
    </w:tbl>
    <w:p w:rsidR="00FA7B12" w:rsidRDefault="00FA7B12" w:rsidP="00CA3B76">
      <w:pPr>
        <w:rPr>
          <w:rFonts w:ascii="仿宋" w:eastAsia="仿宋" w:hAnsi="仿宋" w:cs="仿宋"/>
          <w:color w:val="000000"/>
          <w:sz w:val="24"/>
          <w:szCs w:val="24"/>
        </w:rPr>
      </w:pPr>
    </w:p>
    <w:bookmarkEnd w:id="1"/>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七、国有资产信息</w:t>
      </w:r>
    </w:p>
    <w:p w:rsidR="00CF22DA" w:rsidRDefault="003C7427">
      <w:pPr>
        <w:ind w:firstLineChars="200" w:firstLine="640"/>
        <w:rPr>
          <w:rFonts w:ascii="仿宋" w:eastAsia="仿宋" w:hAnsi="仿宋" w:cs="仿宋"/>
          <w:color w:val="000000"/>
          <w:sz w:val="32"/>
          <w:szCs w:val="32"/>
        </w:rPr>
      </w:pPr>
      <w:r>
        <w:rPr>
          <w:rFonts w:ascii="仿宋" w:eastAsia="仿宋" w:hAnsi="仿宋" w:cs="仿宋" w:hint="eastAsia"/>
          <w:sz w:val="32"/>
          <w:szCs w:val="32"/>
        </w:rPr>
        <w:t>霸州市行政审批局（含所属单位）上年末固定资产金额为</w:t>
      </w:r>
      <w:r>
        <w:rPr>
          <w:rFonts w:ascii="仿宋" w:eastAsia="仿宋" w:hAnsi="仿宋" w:cs="仿宋"/>
          <w:sz w:val="32"/>
          <w:szCs w:val="32"/>
        </w:rPr>
        <w:t>1434.32</w:t>
      </w:r>
      <w:r>
        <w:rPr>
          <w:rFonts w:ascii="仿宋" w:eastAsia="仿宋" w:hAnsi="仿宋" w:cs="仿宋" w:hint="eastAsia"/>
          <w:sz w:val="32"/>
          <w:szCs w:val="32"/>
        </w:rPr>
        <w:t>万元（详见下表）。本年度拟购置固定资产总额为</w:t>
      </w:r>
      <w:bookmarkStart w:id="3" w:name="_GoBack"/>
      <w:r w:rsidR="00F1358F">
        <w:rPr>
          <w:rFonts w:ascii="仿宋" w:eastAsia="仿宋" w:hAnsi="仿宋" w:cs="仿宋" w:hint="eastAsia"/>
          <w:sz w:val="32"/>
          <w:szCs w:val="32"/>
        </w:rPr>
        <w:t>536万元，主要为办公电器设备及计算机软件等，已</w:t>
      </w:r>
      <w:bookmarkEnd w:id="3"/>
      <w:r>
        <w:rPr>
          <w:rFonts w:ascii="仿宋" w:eastAsia="仿宋" w:hAnsi="仿宋" w:cs="仿宋" w:hint="eastAsia"/>
          <w:sz w:val="32"/>
          <w:szCs w:val="32"/>
        </w:rPr>
        <w:t>列入政府采购预算，详见政府采购预算表。</w:t>
      </w:r>
    </w:p>
    <w:tbl>
      <w:tblPr>
        <w:tblW w:w="13482" w:type="dxa"/>
        <w:tblInd w:w="93" w:type="dxa"/>
        <w:tblLayout w:type="fixed"/>
        <w:tblLook w:val="04A0"/>
      </w:tblPr>
      <w:tblGrid>
        <w:gridCol w:w="5224"/>
        <w:gridCol w:w="3155"/>
        <w:gridCol w:w="5103"/>
      </w:tblGrid>
      <w:tr w:rsidR="00CF22DA">
        <w:trPr>
          <w:trHeight w:val="705"/>
        </w:trPr>
        <w:tc>
          <w:tcPr>
            <w:tcW w:w="13482" w:type="dxa"/>
            <w:gridSpan w:val="3"/>
            <w:tcBorders>
              <w:top w:val="nil"/>
              <w:left w:val="nil"/>
              <w:bottom w:val="nil"/>
              <w:right w:val="nil"/>
            </w:tcBorders>
            <w:vAlign w:val="center"/>
          </w:tcPr>
          <w:p w:rsidR="00CF22DA" w:rsidRDefault="00CF22DA">
            <w:pPr>
              <w:widowControl/>
              <w:jc w:val="center"/>
              <w:rPr>
                <w:rFonts w:ascii="仿宋" w:eastAsia="仿宋" w:hAnsi="仿宋" w:cs="仿宋"/>
                <w:kern w:val="0"/>
                <w:sz w:val="32"/>
                <w:szCs w:val="32"/>
              </w:rPr>
            </w:pPr>
          </w:p>
          <w:p w:rsidR="00CF22DA" w:rsidRDefault="003C7427">
            <w:pPr>
              <w:widowControl/>
              <w:jc w:val="center"/>
              <w:rPr>
                <w:rFonts w:ascii="仿宋" w:eastAsia="仿宋" w:hAnsi="仿宋" w:cs="仿宋"/>
                <w:kern w:val="0"/>
                <w:sz w:val="32"/>
                <w:szCs w:val="32"/>
              </w:rPr>
            </w:pPr>
            <w:r>
              <w:rPr>
                <w:rFonts w:ascii="楷体" w:eastAsia="楷体" w:hAnsi="楷体" w:cs="楷体" w:hint="eastAsia"/>
                <w:b/>
                <w:bCs/>
                <w:kern w:val="0"/>
                <w:sz w:val="32"/>
                <w:szCs w:val="32"/>
              </w:rPr>
              <w:t>霸州市行政审批局部门固定资产占用情况表</w:t>
            </w:r>
          </w:p>
        </w:tc>
      </w:tr>
      <w:tr w:rsidR="00CF22DA">
        <w:trPr>
          <w:trHeight w:val="510"/>
        </w:trPr>
        <w:tc>
          <w:tcPr>
            <w:tcW w:w="8379" w:type="dxa"/>
            <w:gridSpan w:val="2"/>
            <w:tcBorders>
              <w:top w:val="nil"/>
              <w:left w:val="nil"/>
              <w:bottom w:val="nil"/>
              <w:right w:val="nil"/>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hint="eastAsia"/>
                <w:kern w:val="0"/>
                <w:sz w:val="32"/>
                <w:szCs w:val="32"/>
              </w:rPr>
              <w:t>编制部门：</w:t>
            </w:r>
            <w:r>
              <w:rPr>
                <w:rFonts w:ascii="仿宋" w:eastAsia="仿宋" w:hAnsi="仿宋" w:cs="仿宋"/>
                <w:kern w:val="0"/>
                <w:sz w:val="32"/>
                <w:szCs w:val="32"/>
              </w:rPr>
              <w:t>108</w:t>
            </w:r>
            <w:r>
              <w:rPr>
                <w:rFonts w:ascii="仿宋" w:eastAsia="仿宋" w:hAnsi="仿宋" w:cs="仿宋" w:hint="eastAsia"/>
                <w:kern w:val="0"/>
                <w:sz w:val="32"/>
                <w:szCs w:val="32"/>
              </w:rPr>
              <w:t>霸州市行政</w:t>
            </w:r>
            <w:proofErr w:type="gramStart"/>
            <w:r>
              <w:rPr>
                <w:rFonts w:ascii="仿宋" w:eastAsia="仿宋" w:hAnsi="仿宋" w:cs="仿宋" w:hint="eastAsia"/>
                <w:kern w:val="0"/>
                <w:sz w:val="32"/>
                <w:szCs w:val="32"/>
              </w:rPr>
              <w:t>审批局</w:t>
            </w:r>
            <w:proofErr w:type="gramEnd"/>
          </w:p>
        </w:tc>
        <w:tc>
          <w:tcPr>
            <w:tcW w:w="5103" w:type="dxa"/>
            <w:tcBorders>
              <w:top w:val="nil"/>
              <w:left w:val="nil"/>
              <w:bottom w:val="nil"/>
              <w:right w:val="nil"/>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hint="eastAsia"/>
                <w:kern w:val="0"/>
                <w:sz w:val="32"/>
                <w:szCs w:val="32"/>
              </w:rPr>
              <w:t>截止时间：</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w:t>
            </w:r>
          </w:p>
        </w:tc>
      </w:tr>
      <w:tr w:rsidR="00CF22DA">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lastRenderedPageBreak/>
              <w:t>项目</w:t>
            </w:r>
          </w:p>
        </w:tc>
        <w:tc>
          <w:tcPr>
            <w:tcW w:w="3155" w:type="dxa"/>
            <w:tcBorders>
              <w:top w:val="single" w:sz="4" w:space="0" w:color="auto"/>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价值（金额单位：万元）</w:t>
            </w:r>
          </w:p>
        </w:tc>
      </w:tr>
      <w:tr w:rsidR="00CF22DA">
        <w:trPr>
          <w:trHeight w:val="543"/>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资产总额</w:t>
            </w:r>
          </w:p>
        </w:tc>
        <w:tc>
          <w:tcPr>
            <w:tcW w:w="3155" w:type="dxa"/>
            <w:tcBorders>
              <w:top w:val="nil"/>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5103" w:type="dxa"/>
            <w:tcBorders>
              <w:top w:val="nil"/>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kern w:val="0"/>
                <w:sz w:val="32"/>
                <w:szCs w:val="32"/>
              </w:rPr>
              <w:t>1434.32</w:t>
            </w:r>
          </w:p>
        </w:tc>
      </w:tr>
      <w:tr w:rsidR="00CF22DA">
        <w:trPr>
          <w:trHeight w:val="578"/>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、房屋（平方米）</w:t>
            </w:r>
          </w:p>
        </w:tc>
        <w:tc>
          <w:tcPr>
            <w:tcW w:w="3155"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r>
      <w:tr w:rsidR="00CF22DA">
        <w:trPr>
          <w:trHeight w:val="543"/>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hint="eastAsia"/>
                <w:kern w:val="0"/>
                <w:sz w:val="32"/>
                <w:szCs w:val="32"/>
              </w:rPr>
              <w:t>其中：办公用房（平方米）</w:t>
            </w:r>
          </w:p>
        </w:tc>
        <w:tc>
          <w:tcPr>
            <w:tcW w:w="3155"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r>
      <w:tr w:rsidR="00CF22DA">
        <w:trPr>
          <w:trHeight w:val="566"/>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、车辆（台、辆）</w:t>
            </w:r>
          </w:p>
        </w:tc>
        <w:tc>
          <w:tcPr>
            <w:tcW w:w="3155" w:type="dxa"/>
            <w:tcBorders>
              <w:top w:val="nil"/>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5103" w:type="dxa"/>
            <w:tcBorders>
              <w:top w:val="nil"/>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23.38</w:t>
            </w:r>
          </w:p>
        </w:tc>
      </w:tr>
      <w:tr w:rsidR="00CF22DA">
        <w:trPr>
          <w:trHeight w:val="546"/>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、单价在</w:t>
            </w:r>
            <w:r>
              <w:rPr>
                <w:rFonts w:ascii="仿宋" w:eastAsia="仿宋" w:hAnsi="仿宋" w:cs="仿宋"/>
                <w:kern w:val="0"/>
                <w:sz w:val="32"/>
                <w:szCs w:val="32"/>
              </w:rPr>
              <w:t>20</w:t>
            </w:r>
            <w:r>
              <w:rPr>
                <w:rFonts w:ascii="仿宋" w:eastAsia="仿宋" w:hAnsi="仿宋" w:cs="仿宋" w:hint="eastAsia"/>
                <w:kern w:val="0"/>
                <w:sz w:val="32"/>
                <w:szCs w:val="32"/>
              </w:rPr>
              <w:t>万元以上的设备</w:t>
            </w:r>
          </w:p>
        </w:tc>
        <w:tc>
          <w:tcPr>
            <w:tcW w:w="3155"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r>
      <w:tr w:rsidR="00CF22DA">
        <w:trPr>
          <w:trHeight w:val="645"/>
        </w:trPr>
        <w:tc>
          <w:tcPr>
            <w:tcW w:w="5224" w:type="dxa"/>
            <w:tcBorders>
              <w:top w:val="nil"/>
              <w:left w:val="single" w:sz="4" w:space="0" w:color="auto"/>
              <w:bottom w:val="single" w:sz="4" w:space="0" w:color="auto"/>
              <w:right w:val="single" w:sz="4" w:space="0" w:color="auto"/>
            </w:tcBorders>
            <w:vAlign w:val="center"/>
          </w:tcPr>
          <w:p w:rsidR="00CF22DA" w:rsidRDefault="003C7427">
            <w:pPr>
              <w:widowControl/>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、其他固定资产</w:t>
            </w:r>
          </w:p>
        </w:tc>
        <w:tc>
          <w:tcPr>
            <w:tcW w:w="3155" w:type="dxa"/>
            <w:tcBorders>
              <w:top w:val="nil"/>
              <w:left w:val="nil"/>
              <w:bottom w:val="single" w:sz="4" w:space="0" w:color="auto"/>
              <w:right w:val="single" w:sz="4" w:space="0" w:color="auto"/>
            </w:tcBorders>
            <w:vAlign w:val="center"/>
          </w:tcPr>
          <w:p w:rsidR="00CF22DA" w:rsidRDefault="00CF22DA">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F22DA" w:rsidRDefault="003C7427">
            <w:pPr>
              <w:widowControl/>
              <w:jc w:val="center"/>
              <w:rPr>
                <w:rFonts w:ascii="仿宋" w:eastAsia="仿宋" w:hAnsi="仿宋" w:cs="仿宋"/>
                <w:kern w:val="0"/>
                <w:sz w:val="32"/>
                <w:szCs w:val="32"/>
              </w:rPr>
            </w:pPr>
            <w:r>
              <w:rPr>
                <w:rFonts w:ascii="仿宋" w:eastAsia="仿宋" w:hAnsi="仿宋" w:cs="仿宋" w:hint="eastAsia"/>
                <w:kern w:val="0"/>
                <w:sz w:val="32"/>
                <w:szCs w:val="32"/>
              </w:rPr>
              <w:t>1410.94</w:t>
            </w:r>
          </w:p>
        </w:tc>
      </w:tr>
    </w:tbl>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八、名词解释</w:t>
      </w:r>
    </w:p>
    <w:p w:rsidR="00CF22DA" w:rsidRDefault="003C7427">
      <w:pPr>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、一般公共预算拨款收入：指市级财政当年拨付的资金。</w:t>
      </w:r>
    </w:p>
    <w:p w:rsidR="00CF22DA" w:rsidRDefault="003C7427">
      <w:pPr>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、事业收入：指事业单位开展专业业务活动及辅助活动所取得的收入。</w:t>
      </w:r>
    </w:p>
    <w:p w:rsidR="00CF22DA" w:rsidRDefault="003C7427">
      <w:pPr>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、其他收入：指除上述“财政拨款收入”、“事业收入”等以外的收入。主要是按规定动用的租房收入、存款利息收入等。</w:t>
      </w:r>
    </w:p>
    <w:p w:rsidR="00CF22DA" w:rsidRDefault="003C7427">
      <w:pPr>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、基本支出：指为保障机构正常运转、完成日常工作任务而发生的人员支出和公用支出。</w:t>
      </w:r>
    </w:p>
    <w:p w:rsidR="00CF22DA" w:rsidRDefault="003C7427">
      <w:pPr>
        <w:rPr>
          <w:rFonts w:ascii="仿宋" w:eastAsia="仿宋" w:hAnsi="仿宋" w:cs="仿宋"/>
          <w:sz w:val="32"/>
          <w:szCs w:val="32"/>
        </w:rPr>
      </w:pPr>
      <w:r>
        <w:rPr>
          <w:rFonts w:ascii="仿宋" w:eastAsia="仿宋" w:hAnsi="仿宋" w:cs="仿宋"/>
          <w:sz w:val="32"/>
          <w:szCs w:val="32"/>
        </w:rPr>
        <w:lastRenderedPageBreak/>
        <w:t xml:space="preserve">    5</w:t>
      </w:r>
      <w:r>
        <w:rPr>
          <w:rFonts w:ascii="仿宋" w:eastAsia="仿宋" w:hAnsi="仿宋" w:cs="仿宋" w:hint="eastAsia"/>
          <w:sz w:val="32"/>
          <w:szCs w:val="32"/>
        </w:rPr>
        <w:t>、项目支出：指在基本支出之外为完成特定行政任务和事业发展目标所发生的支出。</w:t>
      </w:r>
    </w:p>
    <w:p w:rsidR="00CF22DA" w:rsidRDefault="003C7427">
      <w:pPr>
        <w:rPr>
          <w:rFonts w:ascii="仿宋" w:eastAsia="仿宋" w:hAnsi="仿宋" w:cs="仿宋"/>
          <w:sz w:val="32"/>
          <w:szCs w:val="32"/>
        </w:rPr>
      </w:pPr>
      <w:r>
        <w:rPr>
          <w:rFonts w:ascii="仿宋" w:eastAsia="仿宋" w:hAnsi="仿宋" w:cs="仿宋"/>
          <w:sz w:val="32"/>
          <w:szCs w:val="32"/>
        </w:rPr>
        <w:t xml:space="preserve">    6</w:t>
      </w:r>
      <w:r>
        <w:rPr>
          <w:rFonts w:ascii="仿宋" w:eastAsia="仿宋" w:hAnsi="仿宋" w:cs="仿宋" w:hint="eastAsia"/>
          <w:sz w:val="32"/>
          <w:szCs w:val="32"/>
        </w:rPr>
        <w:t>、上缴上级支出：指下级单位上缴上级的支出。</w:t>
      </w:r>
    </w:p>
    <w:p w:rsidR="00CF22DA" w:rsidRDefault="003C7427">
      <w:pPr>
        <w:rPr>
          <w:rFonts w:ascii="仿宋" w:eastAsia="仿宋" w:hAnsi="仿宋" w:cs="仿宋"/>
          <w:sz w:val="32"/>
          <w:szCs w:val="32"/>
        </w:rPr>
      </w:pPr>
      <w:r>
        <w:rPr>
          <w:rFonts w:ascii="仿宋" w:eastAsia="仿宋" w:hAnsi="仿宋" w:cs="仿宋"/>
          <w:sz w:val="32"/>
          <w:szCs w:val="32"/>
        </w:rPr>
        <w:t xml:space="preserve">    7</w:t>
      </w:r>
      <w:r>
        <w:rPr>
          <w:rFonts w:ascii="仿宋" w:eastAsia="仿宋" w:hAnsi="仿宋" w:cs="仿宋"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CF22DA" w:rsidRDefault="003C7427">
      <w:pPr>
        <w:rPr>
          <w:rFonts w:ascii="仿宋" w:eastAsia="仿宋" w:hAnsi="仿宋" w:cs="仿宋"/>
          <w:sz w:val="32"/>
          <w:szCs w:val="32"/>
        </w:rPr>
      </w:pPr>
      <w:r>
        <w:rPr>
          <w:rFonts w:ascii="仿宋" w:eastAsia="仿宋" w:hAnsi="仿宋" w:cs="仿宋"/>
          <w:sz w:val="32"/>
          <w:szCs w:val="32"/>
        </w:rPr>
        <w:t xml:space="preserve">    8</w:t>
      </w:r>
      <w:r>
        <w:rPr>
          <w:rFonts w:ascii="仿宋" w:eastAsia="仿宋" w:hAnsi="仿宋" w:cs="仿宋" w:hint="eastAsia"/>
          <w:sz w:val="32"/>
          <w:szCs w:val="32"/>
        </w:rPr>
        <w:t>、机关运行费：为保障行政单位（包括参照公务员法管理的</w:t>
      </w:r>
      <w:r>
        <w:rPr>
          <w:rFonts w:ascii="仿宋" w:eastAsia="仿宋" w:hAnsi="仿宋" w:cs="仿宋" w:hint="eastAsia"/>
          <w:sz w:val="32"/>
          <w:szCs w:val="32"/>
        </w:rPr>
        <w:t>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22DA" w:rsidRDefault="003C7427">
      <w:pPr>
        <w:ind w:firstLineChars="200" w:firstLine="640"/>
        <w:rPr>
          <w:rFonts w:ascii="黑体" w:eastAsia="黑体" w:hAnsi="黑体" w:cs="黑体"/>
          <w:sz w:val="32"/>
          <w:szCs w:val="32"/>
        </w:rPr>
      </w:pPr>
      <w:r>
        <w:rPr>
          <w:rFonts w:ascii="黑体" w:eastAsia="黑体" w:hAnsi="黑体" w:cs="黑体" w:hint="eastAsia"/>
          <w:sz w:val="32"/>
          <w:szCs w:val="32"/>
        </w:rPr>
        <w:t>九、其</w:t>
      </w:r>
      <w:r>
        <w:rPr>
          <w:rFonts w:ascii="黑体" w:eastAsia="黑体" w:hAnsi="黑体" w:cs="黑体" w:hint="eastAsia"/>
          <w:sz w:val="32"/>
          <w:szCs w:val="32"/>
        </w:rPr>
        <w:t>他</w:t>
      </w:r>
      <w:r>
        <w:rPr>
          <w:rFonts w:ascii="黑体" w:eastAsia="黑体" w:hAnsi="黑体" w:cs="黑体" w:hint="eastAsia"/>
          <w:sz w:val="32"/>
          <w:szCs w:val="32"/>
        </w:rPr>
        <w:t>需要说明的事项</w:t>
      </w:r>
    </w:p>
    <w:p w:rsidR="00CF22DA" w:rsidRDefault="003C7427">
      <w:pPr>
        <w:ind w:firstLine="640"/>
        <w:rPr>
          <w:rFonts w:ascii="仿宋" w:eastAsia="仿宋" w:hAnsi="仿宋" w:cs="仿宋"/>
          <w:sz w:val="32"/>
          <w:szCs w:val="32"/>
        </w:rPr>
      </w:pPr>
      <w:r>
        <w:rPr>
          <w:rFonts w:ascii="仿宋" w:eastAsia="仿宋" w:hAnsi="仿宋" w:cs="仿宋" w:hint="eastAsia"/>
          <w:sz w:val="32"/>
          <w:szCs w:val="32"/>
        </w:rPr>
        <w:t>无其</w:t>
      </w:r>
      <w:r>
        <w:rPr>
          <w:rFonts w:ascii="仿宋" w:eastAsia="仿宋" w:hAnsi="仿宋" w:cs="仿宋" w:hint="eastAsia"/>
          <w:sz w:val="32"/>
          <w:szCs w:val="32"/>
        </w:rPr>
        <w:t>他</w:t>
      </w:r>
      <w:r>
        <w:rPr>
          <w:rFonts w:ascii="仿宋" w:eastAsia="仿宋" w:hAnsi="仿宋" w:cs="仿宋" w:hint="eastAsia"/>
          <w:sz w:val="32"/>
          <w:szCs w:val="32"/>
        </w:rPr>
        <w:t>需要说明的事项。</w:t>
      </w:r>
    </w:p>
    <w:sectPr w:rsidR="00CF22DA" w:rsidSect="00CF22DA">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2DA" w:rsidRDefault="00CF22DA" w:rsidP="00CF22DA">
      <w:r>
        <w:separator/>
      </w:r>
    </w:p>
  </w:endnote>
  <w:endnote w:type="continuationSeparator" w:id="1">
    <w:p w:rsidR="00CF22DA" w:rsidRDefault="00CF22DA" w:rsidP="00CF2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A" w:rsidRDefault="00CF22DA">
    <w:pPr>
      <w:pStyle w:val="a4"/>
      <w:jc w:val="center"/>
    </w:pPr>
    <w:r>
      <w:rPr>
        <w:sz w:val="28"/>
      </w:rPr>
      <w:fldChar w:fldCharType="begin"/>
    </w:r>
    <w:r w:rsidR="003C7427">
      <w:rPr>
        <w:sz w:val="28"/>
      </w:rPr>
      <w:instrText>PAGE   \* MERGEFORMAT</w:instrText>
    </w:r>
    <w:r>
      <w:rPr>
        <w:sz w:val="28"/>
      </w:rPr>
      <w:fldChar w:fldCharType="separate"/>
    </w:r>
    <w:r w:rsidR="00C1180C" w:rsidRPr="00C1180C">
      <w:rPr>
        <w:noProof/>
        <w:sz w:val="28"/>
        <w:lang w:val="zh-CN"/>
      </w:rPr>
      <w:t>8</w:t>
    </w:r>
    <w:r>
      <w:rPr>
        <w:sz w:val="28"/>
      </w:rPr>
      <w:fldChar w:fldCharType="end"/>
    </w:r>
  </w:p>
  <w:p w:rsidR="00CF22DA" w:rsidRDefault="00CF22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2DA" w:rsidRDefault="00CF22DA" w:rsidP="00CF22DA">
      <w:r>
        <w:separator/>
      </w:r>
    </w:p>
  </w:footnote>
  <w:footnote w:type="continuationSeparator" w:id="1">
    <w:p w:rsidR="00CF22DA" w:rsidRDefault="00CF22DA" w:rsidP="00CF2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4316"/>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847EF"/>
    <w:rsid w:val="0009108E"/>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1845"/>
    <w:rsid w:val="00122CA5"/>
    <w:rsid w:val="001245BB"/>
    <w:rsid w:val="00126262"/>
    <w:rsid w:val="001353FD"/>
    <w:rsid w:val="001433DA"/>
    <w:rsid w:val="00152A3B"/>
    <w:rsid w:val="00162841"/>
    <w:rsid w:val="00165677"/>
    <w:rsid w:val="00170039"/>
    <w:rsid w:val="00177A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008B"/>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D51B4"/>
    <w:rsid w:val="002D67F3"/>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5FEB"/>
    <w:rsid w:val="003A6E7C"/>
    <w:rsid w:val="003A7DA6"/>
    <w:rsid w:val="003B1DC1"/>
    <w:rsid w:val="003C0810"/>
    <w:rsid w:val="003C37E2"/>
    <w:rsid w:val="003C7427"/>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3D28"/>
    <w:rsid w:val="00457736"/>
    <w:rsid w:val="00457896"/>
    <w:rsid w:val="00460F14"/>
    <w:rsid w:val="00462805"/>
    <w:rsid w:val="0046556D"/>
    <w:rsid w:val="004664F1"/>
    <w:rsid w:val="00470561"/>
    <w:rsid w:val="00470B77"/>
    <w:rsid w:val="00472923"/>
    <w:rsid w:val="00480407"/>
    <w:rsid w:val="004860C5"/>
    <w:rsid w:val="00486A88"/>
    <w:rsid w:val="004A2340"/>
    <w:rsid w:val="004A354F"/>
    <w:rsid w:val="004A41D0"/>
    <w:rsid w:val="004A45F5"/>
    <w:rsid w:val="004A77B1"/>
    <w:rsid w:val="004B0AE4"/>
    <w:rsid w:val="004B59A6"/>
    <w:rsid w:val="004B67EC"/>
    <w:rsid w:val="004C68B6"/>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46B3"/>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03CB"/>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260C"/>
    <w:rsid w:val="00681EFF"/>
    <w:rsid w:val="00683B78"/>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03156"/>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5457"/>
    <w:rsid w:val="007B7089"/>
    <w:rsid w:val="007C2346"/>
    <w:rsid w:val="007C2902"/>
    <w:rsid w:val="007C4F30"/>
    <w:rsid w:val="007D0A59"/>
    <w:rsid w:val="007E1DA8"/>
    <w:rsid w:val="007E2C66"/>
    <w:rsid w:val="007E5C75"/>
    <w:rsid w:val="007F055D"/>
    <w:rsid w:val="007F087E"/>
    <w:rsid w:val="007F2C5A"/>
    <w:rsid w:val="007F3D63"/>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5153"/>
    <w:rsid w:val="0098798C"/>
    <w:rsid w:val="0099180C"/>
    <w:rsid w:val="00994C35"/>
    <w:rsid w:val="009955F6"/>
    <w:rsid w:val="009A2F5C"/>
    <w:rsid w:val="009B077C"/>
    <w:rsid w:val="009B11C8"/>
    <w:rsid w:val="009B2A39"/>
    <w:rsid w:val="009B58A9"/>
    <w:rsid w:val="009C2863"/>
    <w:rsid w:val="009C762E"/>
    <w:rsid w:val="009D439C"/>
    <w:rsid w:val="009E0EEF"/>
    <w:rsid w:val="009E4DEE"/>
    <w:rsid w:val="009F225E"/>
    <w:rsid w:val="009F4437"/>
    <w:rsid w:val="009F7FFC"/>
    <w:rsid w:val="00A003B8"/>
    <w:rsid w:val="00A03100"/>
    <w:rsid w:val="00A05E95"/>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486"/>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F7510"/>
    <w:rsid w:val="00C0018A"/>
    <w:rsid w:val="00C01825"/>
    <w:rsid w:val="00C1180C"/>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3B76"/>
    <w:rsid w:val="00CA7176"/>
    <w:rsid w:val="00CA7C24"/>
    <w:rsid w:val="00CD0702"/>
    <w:rsid w:val="00CD1590"/>
    <w:rsid w:val="00CD2773"/>
    <w:rsid w:val="00CE0CDC"/>
    <w:rsid w:val="00CE143B"/>
    <w:rsid w:val="00CE2392"/>
    <w:rsid w:val="00CE6B7C"/>
    <w:rsid w:val="00CF1F56"/>
    <w:rsid w:val="00CF22DA"/>
    <w:rsid w:val="00D013EB"/>
    <w:rsid w:val="00D03C5F"/>
    <w:rsid w:val="00D121F0"/>
    <w:rsid w:val="00D15E78"/>
    <w:rsid w:val="00D1772A"/>
    <w:rsid w:val="00D231A7"/>
    <w:rsid w:val="00D25F3D"/>
    <w:rsid w:val="00D260D2"/>
    <w:rsid w:val="00D4269E"/>
    <w:rsid w:val="00D45811"/>
    <w:rsid w:val="00D46C97"/>
    <w:rsid w:val="00D47E19"/>
    <w:rsid w:val="00D523E9"/>
    <w:rsid w:val="00D528F5"/>
    <w:rsid w:val="00D559AC"/>
    <w:rsid w:val="00D57A83"/>
    <w:rsid w:val="00D63054"/>
    <w:rsid w:val="00D71ECE"/>
    <w:rsid w:val="00D75B58"/>
    <w:rsid w:val="00D86270"/>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5CC0"/>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4BB4"/>
    <w:rsid w:val="00EB7427"/>
    <w:rsid w:val="00EB7463"/>
    <w:rsid w:val="00EC0907"/>
    <w:rsid w:val="00EC47F6"/>
    <w:rsid w:val="00ED2E11"/>
    <w:rsid w:val="00ED7F34"/>
    <w:rsid w:val="00EE1B43"/>
    <w:rsid w:val="00EF02FF"/>
    <w:rsid w:val="00EF1B99"/>
    <w:rsid w:val="00EF441B"/>
    <w:rsid w:val="00EF6E7B"/>
    <w:rsid w:val="00F05B79"/>
    <w:rsid w:val="00F1358F"/>
    <w:rsid w:val="00F153EF"/>
    <w:rsid w:val="00F31971"/>
    <w:rsid w:val="00F32569"/>
    <w:rsid w:val="00F417E3"/>
    <w:rsid w:val="00F4182E"/>
    <w:rsid w:val="00F42CB4"/>
    <w:rsid w:val="00F51920"/>
    <w:rsid w:val="00F5306C"/>
    <w:rsid w:val="00F57F4F"/>
    <w:rsid w:val="00F631D6"/>
    <w:rsid w:val="00F645C4"/>
    <w:rsid w:val="00F66032"/>
    <w:rsid w:val="00F6694D"/>
    <w:rsid w:val="00F82AC6"/>
    <w:rsid w:val="00F86D57"/>
    <w:rsid w:val="00F958C2"/>
    <w:rsid w:val="00FA0C96"/>
    <w:rsid w:val="00FA44B3"/>
    <w:rsid w:val="00FA71CC"/>
    <w:rsid w:val="00FA7B12"/>
    <w:rsid w:val="00FB64EF"/>
    <w:rsid w:val="00FB7C83"/>
    <w:rsid w:val="00FD52DC"/>
    <w:rsid w:val="00FD596F"/>
    <w:rsid w:val="00FE25D5"/>
    <w:rsid w:val="00FE2A35"/>
    <w:rsid w:val="00FF0EC6"/>
    <w:rsid w:val="00FF3F1E"/>
    <w:rsid w:val="00FF4B95"/>
    <w:rsid w:val="054C7AA2"/>
    <w:rsid w:val="0AC1657F"/>
    <w:rsid w:val="0DB73A45"/>
    <w:rsid w:val="0F5D359C"/>
    <w:rsid w:val="2AFB0E49"/>
    <w:rsid w:val="2BC16DDF"/>
    <w:rsid w:val="2BC74954"/>
    <w:rsid w:val="2BFB6233"/>
    <w:rsid w:val="2C3272EA"/>
    <w:rsid w:val="2CC47CE3"/>
    <w:rsid w:val="2DCC1B4A"/>
    <w:rsid w:val="2E6F1291"/>
    <w:rsid w:val="3C5C580A"/>
    <w:rsid w:val="3D470353"/>
    <w:rsid w:val="3EF1102F"/>
    <w:rsid w:val="44891C90"/>
    <w:rsid w:val="45080845"/>
    <w:rsid w:val="454B52BD"/>
    <w:rsid w:val="4D383B4F"/>
    <w:rsid w:val="502D0748"/>
    <w:rsid w:val="60DC0955"/>
    <w:rsid w:val="62095B44"/>
    <w:rsid w:val="672953DB"/>
    <w:rsid w:val="6EF14E44"/>
    <w:rsid w:val="6F2879AD"/>
    <w:rsid w:val="76667001"/>
    <w:rsid w:val="768F68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F22DA"/>
    <w:rPr>
      <w:sz w:val="18"/>
      <w:szCs w:val="18"/>
    </w:rPr>
  </w:style>
  <w:style w:type="paragraph" w:styleId="a4">
    <w:name w:val="footer"/>
    <w:basedOn w:val="a"/>
    <w:link w:val="Char0"/>
    <w:uiPriority w:val="99"/>
    <w:rsid w:val="00CF22DA"/>
    <w:pPr>
      <w:tabs>
        <w:tab w:val="center" w:pos="4153"/>
        <w:tab w:val="right" w:pos="8306"/>
      </w:tabs>
      <w:snapToGrid w:val="0"/>
      <w:jc w:val="left"/>
    </w:pPr>
    <w:rPr>
      <w:rFonts w:ascii="Times New Roman" w:hAnsi="Times New Roman"/>
      <w:sz w:val="18"/>
      <w:szCs w:val="18"/>
    </w:rPr>
  </w:style>
  <w:style w:type="paragraph" w:styleId="a5">
    <w:name w:val="header"/>
    <w:basedOn w:val="a"/>
    <w:link w:val="Char1"/>
    <w:uiPriority w:val="99"/>
    <w:rsid w:val="00CF22D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
    <w:name w:val="toc 1"/>
    <w:basedOn w:val="a"/>
    <w:next w:val="a"/>
    <w:uiPriority w:val="99"/>
    <w:rsid w:val="00CF22DA"/>
    <w:rPr>
      <w:rFonts w:ascii="Times New Roman" w:hAnsi="Times New Roman"/>
      <w:szCs w:val="24"/>
    </w:rPr>
  </w:style>
  <w:style w:type="paragraph" w:styleId="2">
    <w:name w:val="toc 2"/>
    <w:basedOn w:val="a"/>
    <w:next w:val="a"/>
    <w:uiPriority w:val="99"/>
    <w:qFormat/>
    <w:rsid w:val="00CF22DA"/>
    <w:pPr>
      <w:ind w:leftChars="200" w:left="420"/>
    </w:pPr>
    <w:rPr>
      <w:rFonts w:ascii="Times New Roman" w:hAnsi="Times New Roman"/>
      <w:szCs w:val="24"/>
    </w:rPr>
  </w:style>
  <w:style w:type="character" w:customStyle="1" w:styleId="Char">
    <w:name w:val="批注框文本 Char"/>
    <w:basedOn w:val="a0"/>
    <w:link w:val="a3"/>
    <w:uiPriority w:val="99"/>
    <w:semiHidden/>
    <w:qFormat/>
    <w:locked/>
    <w:rsid w:val="00CF22DA"/>
    <w:rPr>
      <w:rFonts w:cs="Times New Roman"/>
      <w:sz w:val="18"/>
      <w:szCs w:val="18"/>
    </w:rPr>
  </w:style>
  <w:style w:type="character" w:customStyle="1" w:styleId="Char0">
    <w:name w:val="页脚 Char"/>
    <w:basedOn w:val="a0"/>
    <w:link w:val="a4"/>
    <w:uiPriority w:val="99"/>
    <w:qFormat/>
    <w:locked/>
    <w:rsid w:val="00CF22DA"/>
    <w:rPr>
      <w:rFonts w:ascii="Times New Roman" w:eastAsia="宋体" w:hAnsi="Times New Roman" w:cs="Times New Roman"/>
      <w:sz w:val="18"/>
      <w:szCs w:val="18"/>
    </w:rPr>
  </w:style>
  <w:style w:type="character" w:customStyle="1" w:styleId="Char1">
    <w:name w:val="页眉 Char"/>
    <w:basedOn w:val="a0"/>
    <w:link w:val="a5"/>
    <w:uiPriority w:val="99"/>
    <w:locked/>
    <w:rsid w:val="00CF22DA"/>
    <w:rPr>
      <w:rFonts w:ascii="Times New Roman" w:eastAsia="宋体" w:hAnsi="Times New Roman" w:cs="Times New Roman"/>
      <w:sz w:val="18"/>
      <w:szCs w:val="18"/>
    </w:rPr>
  </w:style>
  <w:style w:type="paragraph" w:customStyle="1" w:styleId="Default">
    <w:name w:val="Default"/>
    <w:uiPriority w:val="99"/>
    <w:rsid w:val="00CF22DA"/>
    <w:pPr>
      <w:widowControl w:val="0"/>
      <w:autoSpaceDE w:val="0"/>
      <w:autoSpaceDN w:val="0"/>
      <w:adjustRightInd w:val="0"/>
    </w:pPr>
    <w:rPr>
      <w:color w:val="000000"/>
      <w:sz w:val="24"/>
      <w:szCs w:val="24"/>
    </w:rPr>
  </w:style>
  <w:style w:type="paragraph" w:customStyle="1" w:styleId="Char2">
    <w:name w:val="Char"/>
    <w:basedOn w:val="a"/>
    <w:uiPriority w:val="99"/>
    <w:rsid w:val="00CF22DA"/>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4218</Words>
  <Characters>1216</Characters>
  <Application>Microsoft Office Word</Application>
  <DocSecurity>0</DocSecurity>
  <Lines>10</Lines>
  <Paragraphs>10</Paragraphs>
  <ScaleCrop>false</ScaleCrop>
  <Company>Microsoft</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系统天地</cp:lastModifiedBy>
  <cp:revision>1356</cp:revision>
  <cp:lastPrinted>2018-02-28T01:51:00Z</cp:lastPrinted>
  <dcterms:created xsi:type="dcterms:W3CDTF">2017-10-26T06:45:00Z</dcterms:created>
  <dcterms:modified xsi:type="dcterms:W3CDTF">2019-01-20T07:17:00Z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