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jc w:val="center"/>
        <w:outlineLvl w:val="0"/>
        <w:rPr>
          <w:lang w:eastAsia="zh-CN"/>
        </w:rPr>
      </w:pPr>
    </w:p>
    <w:p>
      <w:pPr>
        <w:jc w:val="center"/>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部门</w:t>
      </w:r>
      <w:r>
        <w:rPr>
          <w:rFonts w:ascii="方正楷体_GBK" w:hAnsi="方正楷体_GBK" w:eastAsia="方正楷体_GBK" w:cs="方正楷体_GBK"/>
          <w:b/>
          <w:color w:val="000000"/>
          <w:sz w:val="28"/>
        </w:rPr>
        <w:t>预算公开表</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部门</w:t>
      </w:r>
      <w:r>
        <w:t>预算收支总表</w:t>
      </w:r>
      <w:r>
        <w:rPr>
          <w:rFonts w:hint="eastAsia"/>
          <w:lang w:val="en-US" w:eastAsia="zh-CN"/>
        </w:rPr>
        <w:t>.....................................................................3</w:t>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"_Toc_2_2_0000000002" </w:instrText>
      </w:r>
      <w:r>
        <w:fldChar w:fldCharType="separate"/>
      </w:r>
      <w:r>
        <w:rPr>
          <w:rFonts w:hint="eastAsia"/>
          <w:lang w:val="en-US" w:eastAsia="zh-CN"/>
        </w:rPr>
        <w:t>部门</w:t>
      </w:r>
      <w:r>
        <w:t>预算收入总表</w:t>
      </w:r>
      <w:r>
        <w:rPr>
          <w:rFonts w:hint="eastAsia"/>
          <w:lang w:val="en-US" w:eastAsia="zh-CN"/>
        </w:rPr>
        <w:t>........................................................................</w:t>
      </w:r>
      <w:r>
        <w:rPr>
          <w:rFonts w:hint="eastAsia" w:eastAsiaTheme="minorEastAsia"/>
          <w:lang w:eastAsia="zh-CN"/>
        </w:rPr>
        <w:t>5</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"_Toc_2_2_0000000003" </w:instrText>
      </w:r>
      <w:r>
        <w:fldChar w:fldCharType="separate"/>
      </w:r>
      <w:r>
        <w:rPr>
          <w:rFonts w:hint="eastAsia"/>
          <w:lang w:val="en-US" w:eastAsia="zh-CN"/>
        </w:rPr>
        <w:t>部门</w:t>
      </w:r>
      <w:r>
        <w:t>预算支出总表</w:t>
      </w:r>
      <w:r>
        <w:rPr>
          <w:rFonts w:hint="eastAsia"/>
          <w:lang w:val="en-US" w:eastAsia="zh-CN"/>
        </w:rPr>
        <w:t>.................................................................................</w:t>
      </w:r>
      <w:r>
        <w:rPr>
          <w:rFonts w:hint="eastAsia" w:eastAsiaTheme="minorEastAsia"/>
          <w:lang w:eastAsia="zh-CN"/>
        </w:rPr>
        <w:t>6</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"_Toc_2_2_0000000004" </w:instrText>
      </w:r>
      <w:r>
        <w:fldChar w:fldCharType="separate"/>
      </w:r>
      <w:r>
        <w:rPr>
          <w:rFonts w:hint="eastAsia"/>
          <w:lang w:val="en-US" w:eastAsia="zh-CN"/>
        </w:rPr>
        <w:t>部门</w:t>
      </w:r>
      <w:r>
        <w:t>预算财政拨款收支总表</w:t>
      </w:r>
      <w:r>
        <w:rPr>
          <w:rFonts w:hint="eastAsia"/>
          <w:lang w:val="en-US" w:eastAsia="zh-CN"/>
        </w:rPr>
        <w:t>.......................................................................</w:t>
      </w:r>
      <w:r>
        <w:rPr>
          <w:rFonts w:hint="eastAsia" w:eastAsiaTheme="minorEastAsia"/>
          <w:lang w:eastAsia="zh-CN"/>
        </w:rPr>
        <w:t>7</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"_Toc_2_2_0000000005" </w:instrText>
      </w:r>
      <w:r>
        <w:fldChar w:fldCharType="separate"/>
      </w:r>
      <w:r>
        <w:rPr>
          <w:rFonts w:hint="eastAsia"/>
          <w:lang w:val="en-US" w:eastAsia="zh-CN"/>
        </w:rPr>
        <w:t>部门</w:t>
      </w:r>
      <w:r>
        <w:t>预算一般公共预算财政拨款支出表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"_Toc_2_2_0000000006" </w:instrText>
      </w:r>
      <w:r>
        <w:fldChar w:fldCharType="separate"/>
      </w:r>
      <w:r>
        <w:rPr>
          <w:rFonts w:hint="eastAsia"/>
          <w:lang w:val="en-US" w:eastAsia="zh-CN"/>
        </w:rPr>
        <w:t>部门</w:t>
      </w:r>
      <w:r>
        <w:t>预算一般公共预算财政拨款基本支出表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"_Toc_2_2_0000000007" </w:instrText>
      </w:r>
      <w:r>
        <w:fldChar w:fldCharType="separate"/>
      </w:r>
      <w:r>
        <w:rPr>
          <w:rFonts w:hint="eastAsia"/>
          <w:lang w:val="en-US" w:eastAsia="zh-CN"/>
        </w:rPr>
        <w:t>部门</w:t>
      </w:r>
      <w:r>
        <w:t>预算政府基金预算财政拨款支出表</w:t>
      </w:r>
      <w:r>
        <w:rPr>
          <w:rFonts w:hint="eastAsia"/>
          <w:lang w:val="en-US" w:eastAsia="zh-CN"/>
        </w:rPr>
        <w:t>........................................................</w:t>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"_Toc_2_2_0000000008" </w:instrText>
      </w:r>
      <w:r>
        <w:fldChar w:fldCharType="separate"/>
      </w:r>
      <w:r>
        <w:rPr>
          <w:rFonts w:hint="eastAsia"/>
          <w:lang w:val="en-US" w:eastAsia="zh-CN"/>
        </w:rPr>
        <w:t>部门</w:t>
      </w:r>
      <w:r>
        <w:t>预算国有资本经营预算财政拨款支出表</w:t>
      </w:r>
      <w:r>
        <w:rPr>
          <w:rFonts w:hint="eastAsia"/>
          <w:lang w:val="en-US" w:eastAsia="zh-CN"/>
        </w:rPr>
        <w:t>...............................................</w:t>
      </w:r>
      <w:r>
        <w:fldChar w:fldCharType="begin"/>
      </w:r>
      <w:r>
        <w:instrText xml:space="preserve">PAGEREF _Toc_2_2_0000000008 \h</w:instrText>
      </w:r>
      <w:r>
        <w:fldChar w:fldCharType="separate"/>
      </w:r>
      <w:r>
        <w:t>1</w:t>
      </w:r>
      <w:r>
        <w:rPr>
          <w:rFonts w:hint="eastAsia" w:eastAsiaTheme="minorEastAsia"/>
          <w:lang w:val="en-US" w:eastAsia="zh-CN"/>
        </w:rPr>
        <w:t>4</w:t>
      </w:r>
      <w:r>
        <w:fldChar w:fldCharType="end"/>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"_Toc_2_2_0000000009" </w:instrText>
      </w:r>
      <w:r>
        <w:fldChar w:fldCharType="separate"/>
      </w:r>
      <w:r>
        <w:rPr>
          <w:rFonts w:hint="eastAsia"/>
          <w:lang w:val="en-US" w:eastAsia="zh-CN"/>
        </w:rPr>
        <w:t>部门</w:t>
      </w:r>
      <w:r>
        <w:t>预算财政拨款“三</w:t>
      </w:r>
      <w:r>
        <w:rPr>
          <w:rFonts w:hint="eastAsia"/>
          <w:lang w:val="en-US" w:eastAsia="zh-CN"/>
        </w:rPr>
        <w:t xml:space="preserve"> </w:t>
      </w:r>
      <w:r>
        <w:t>公”经费支出表</w:t>
      </w:r>
      <w:r>
        <w:rPr>
          <w:rFonts w:hint="eastAsia"/>
          <w:lang w:val="en-US" w:eastAsia="zh-CN"/>
        </w:rPr>
        <w:t>.............................</w:t>
      </w:r>
      <w:r>
        <w:fldChar w:fldCharType="begin"/>
      </w:r>
      <w:r>
        <w:instrText xml:space="preserve">PAGEREF _Toc_2_2_0000000009 \h</w:instrText>
      </w:r>
      <w:r>
        <w:fldChar w:fldCharType="separate"/>
      </w:r>
      <w:r>
        <w:t>1</w:t>
      </w:r>
      <w:r>
        <w:rPr>
          <w:rFonts w:hint="eastAsia" w:eastAsiaTheme="minorEastAsia"/>
          <w:lang w:val="en-US" w:eastAsia="zh-CN"/>
        </w:rPr>
        <w:t>5</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部门</w:t>
      </w:r>
      <w:r>
        <w:rPr>
          <w:rFonts w:ascii="方正楷体_GBK" w:hAnsi="方正楷体_GBK" w:eastAsia="方正楷体_GBK" w:cs="方正楷体_GBK"/>
          <w:b/>
          <w:color w:val="000000"/>
          <w:sz w:val="28"/>
        </w:rPr>
        <w:t>预算信息公开情况说明</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部门</w:t>
      </w:r>
      <w:r>
        <w:t>职责及机构设置情况</w:t>
      </w:r>
      <w:r>
        <w:rPr>
          <w:rFonts w:hint="eastAsia"/>
          <w:lang w:val="en-US" w:eastAsia="zh-CN"/>
        </w:rPr>
        <w:t>...........................................................1</w:t>
      </w:r>
      <w:r>
        <w:fldChar w:fldCharType="end"/>
      </w:r>
      <w:r>
        <w:rPr>
          <w:rFonts w:hint="eastAsia"/>
          <w:lang w:val="en-US" w:eastAsia="zh-CN"/>
        </w:rPr>
        <w:t>6</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部门</w:t>
      </w:r>
      <w:r>
        <w:t>预算安排的总体情况</w:t>
      </w:r>
      <w:r>
        <w:rPr>
          <w:rFonts w:hint="eastAsia"/>
          <w:lang w:val="en-US" w:eastAsia="zh-CN"/>
        </w:rPr>
        <w:t>..........................................................1</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rPr>
          <w:rFonts w:hint="eastAsia"/>
          <w:lang w:val="en-US" w:eastAsia="zh-CN"/>
        </w:rPr>
        <w:t>.............................................................1</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"_Toc_3_3_0000000014" </w:instrText>
      </w:r>
      <w:r>
        <w:fldChar w:fldCharType="separate"/>
      </w:r>
      <w:r>
        <w:t>五、预算绩效信息</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rPr>
          <w:rFonts w:hint="eastAsia"/>
          <w:lang w:val="en-US" w:eastAsia="zh-CN"/>
        </w:rPr>
        <w:t>...................................................................................2</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rPr>
          <w:rFonts w:hint="eastAsia"/>
          <w:lang w:val="en-US" w:eastAsia="zh-CN"/>
        </w:rPr>
        <w:t>..............................................................3</w:t>
      </w:r>
      <w:r>
        <w:fldChar w:fldCharType="end"/>
      </w:r>
      <w:r>
        <w:rPr>
          <w:rFonts w:hint="eastAsia"/>
          <w:lang w:val="en-US" w:eastAsia="zh-CN"/>
        </w:rPr>
        <w:t>0</w:t>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
    <w:p/>
    <w:p/>
    <w:p/>
    <w:p/>
    <w:p>
      <w:pPr>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702霸州市融媒体中心</w:t>
            </w:r>
          </w:p>
        </w:tc>
        <w:tc>
          <w:tcPr>
            <w:tcW w:w="2126"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2654.1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2654.1</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rPr>
                <w:rFonts w:hint="default" w:eastAsiaTheme="minorEastAsia"/>
                <w:lang w:val="en-US" w:eastAsia="zh-CN"/>
              </w:rPr>
            </w:pPr>
            <w:r>
              <w:rPr>
                <w:rFonts w:hint="eastAsia" w:eastAsiaTheme="minorEastAsia"/>
                <w:lang w:val="en-US" w:eastAsia="zh-CN"/>
              </w:rPr>
              <w:t>16.2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c>
          <w:tcPr>
            <w:tcW w:w="4535" w:type="dxa"/>
            <w:vAlign w:val="center"/>
          </w:tcPr>
          <w:p>
            <w:pPr>
              <w:pStyle w:val="15"/>
            </w:pPr>
            <w:r>
              <w:t>支出总计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gridSpan w:val="3"/>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default" w:eastAsia="方正书宋_GBK"/>
                <w:lang w:val="en-US" w:eastAsia="zh-CN"/>
              </w:rPr>
            </w:pPr>
            <w:r>
              <w:rPr>
                <w:rFonts w:hint="eastAsia"/>
                <w:lang w:val="en-US" w:eastAsia="zh-CN"/>
              </w:rPr>
              <w:t>2670.3</w:t>
            </w:r>
          </w:p>
        </w:tc>
        <w:tc>
          <w:tcPr>
            <w:tcW w:w="1134" w:type="dxa"/>
            <w:vAlign w:val="center"/>
          </w:tcPr>
          <w:p>
            <w:pPr>
              <w:pStyle w:val="16"/>
              <w:rPr>
                <w:rFonts w:hint="default" w:eastAsia="方正书宋_GBK"/>
                <w:lang w:val="en-US" w:eastAsia="zh-CN"/>
              </w:rPr>
            </w:pPr>
            <w:r>
              <w:rPr>
                <w:rFonts w:hint="eastAsia"/>
                <w:lang w:val="en-US" w:eastAsia="zh-CN"/>
              </w:rPr>
              <w:t>2654.1</w:t>
            </w:r>
          </w:p>
        </w:tc>
        <w:tc>
          <w:tcPr>
            <w:tcW w:w="1134" w:type="dxa"/>
            <w:vAlign w:val="center"/>
          </w:tcPr>
          <w:p>
            <w:pPr>
              <w:pStyle w:val="16"/>
            </w:pPr>
            <w:r>
              <w:rPr>
                <w:rFonts w:hint="eastAsia"/>
                <w:lang w:val="en-US" w:eastAsia="zh-CN"/>
              </w:rPr>
              <w:t>2654.1</w:t>
            </w:r>
            <w:r>
              <w:t>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2070801</w:t>
            </w:r>
          </w:p>
        </w:tc>
        <w:tc>
          <w:tcPr>
            <w:tcW w:w="1559" w:type="dxa"/>
            <w:vAlign w:val="center"/>
          </w:tcPr>
          <w:p>
            <w:pPr>
              <w:pStyle w:val="13"/>
            </w:pPr>
            <w:r>
              <w:t>行政运行</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rPr>
                <w:rFonts w:hint="default" w:eastAsia="方正书宋_GBK"/>
                <w:lang w:val="en-US" w:eastAsia="zh-CN"/>
              </w:rPr>
            </w:pPr>
            <w:r>
              <w:rPr>
                <w:rFonts w:hint="eastAsia"/>
                <w:lang w:val="en-US" w:eastAsia="zh-CN"/>
              </w:rPr>
              <w:t>97.4</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721" w:type="dxa"/>
            <w:gridSpan w:val="2"/>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2670.3</w:t>
            </w:r>
          </w:p>
        </w:tc>
        <w:tc>
          <w:tcPr>
            <w:tcW w:w="1361" w:type="dxa"/>
            <w:vAlign w:val="center"/>
          </w:tcPr>
          <w:p>
            <w:pPr>
              <w:pStyle w:val="16"/>
              <w:rPr>
                <w:rFonts w:hint="default" w:eastAsia="方正书宋_GBK"/>
                <w:lang w:val="en-US" w:eastAsia="zh-CN"/>
              </w:rPr>
            </w:pPr>
            <w:r>
              <w:rPr>
                <w:rFonts w:hint="eastAsia"/>
                <w:lang w:val="en-US" w:eastAsia="zh-CN"/>
              </w:rPr>
              <w:t>2572.9</w:t>
            </w:r>
          </w:p>
        </w:tc>
        <w:tc>
          <w:tcPr>
            <w:tcW w:w="1361" w:type="dxa"/>
            <w:vAlign w:val="center"/>
          </w:tcPr>
          <w:p>
            <w:pPr>
              <w:pStyle w:val="16"/>
              <w:rPr>
                <w:rFonts w:hint="default" w:eastAsia="方正书宋_GBK"/>
                <w:lang w:val="en-US" w:eastAsia="zh-CN"/>
              </w:rPr>
            </w:pPr>
            <w:r>
              <w:rPr>
                <w:rFonts w:hint="eastAsia"/>
                <w:lang w:val="en-US" w:eastAsia="zh-CN"/>
              </w:rPr>
              <w:t>97.4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2070801</w:t>
            </w:r>
          </w:p>
        </w:tc>
        <w:tc>
          <w:tcPr>
            <w:tcW w:w="4535" w:type="dxa"/>
            <w:vAlign w:val="center"/>
          </w:tcPr>
          <w:p>
            <w:pPr>
              <w:pStyle w:val="13"/>
            </w:pPr>
            <w:r>
              <w:t>行政运行</w:t>
            </w:r>
          </w:p>
        </w:tc>
        <w:tc>
          <w:tcPr>
            <w:tcW w:w="1361" w:type="dxa"/>
            <w:vAlign w:val="center"/>
          </w:tcPr>
          <w:p>
            <w:pPr>
              <w:pStyle w:val="12"/>
              <w:rPr>
                <w:rFonts w:hint="default" w:eastAsia="方正书宋_GBK"/>
                <w:lang w:val="en-US" w:eastAsia="zh-CN"/>
              </w:rPr>
            </w:pPr>
            <w:r>
              <w:rPr>
                <w:rFonts w:hint="eastAsia"/>
                <w:lang w:val="en-US" w:eastAsia="zh-CN"/>
              </w:rPr>
              <w:t>2572.9</w:t>
            </w:r>
          </w:p>
        </w:tc>
        <w:tc>
          <w:tcPr>
            <w:tcW w:w="1361" w:type="dxa"/>
            <w:vAlign w:val="center"/>
          </w:tcPr>
          <w:p>
            <w:pPr>
              <w:pStyle w:val="12"/>
            </w:pPr>
            <w:r>
              <w:rPr>
                <w:rFonts w:hint="eastAsia"/>
                <w:lang w:val="en-US" w:eastAsia="zh-CN"/>
              </w:rPr>
              <w:t>2572.9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rPr>
                <w:rFonts w:hint="default" w:eastAsia="方正书宋_GBK"/>
                <w:lang w:val="en-US" w:eastAsia="zh-CN"/>
              </w:rPr>
            </w:pPr>
            <w:r>
              <w:rPr>
                <w:rFonts w:hint="eastAsia"/>
                <w:lang w:val="en-US" w:eastAsia="zh-CN"/>
              </w:rPr>
              <w:t>97.4</w:t>
            </w:r>
          </w:p>
        </w:tc>
        <w:tc>
          <w:tcPr>
            <w:tcW w:w="1361" w:type="dxa"/>
            <w:vAlign w:val="center"/>
          </w:tcPr>
          <w:p>
            <w:pPr>
              <w:pStyle w:val="12"/>
            </w:pP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2654.1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2654.1</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2670.3</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2070801</w:t>
            </w:r>
          </w:p>
        </w:tc>
        <w:tc>
          <w:tcPr>
            <w:tcW w:w="4535" w:type="dxa"/>
            <w:vAlign w:val="center"/>
          </w:tcPr>
          <w:p>
            <w:pPr>
              <w:pStyle w:val="13"/>
            </w:pPr>
            <w:r>
              <w:t>行政运行</w:t>
            </w:r>
          </w:p>
        </w:tc>
        <w:tc>
          <w:tcPr>
            <w:tcW w:w="2551" w:type="dxa"/>
            <w:vAlign w:val="center"/>
          </w:tcPr>
          <w:p>
            <w:pPr>
              <w:pStyle w:val="12"/>
              <w:rPr>
                <w:rFonts w:hint="default" w:eastAsia="方正书宋_GBK"/>
                <w:lang w:val="en-US" w:eastAsia="zh-CN"/>
              </w:rPr>
            </w:pPr>
            <w:r>
              <w:rPr>
                <w:rFonts w:hint="eastAsia"/>
                <w:lang w:val="en-US" w:eastAsia="zh-CN"/>
              </w:rPr>
              <w:t>2572.9</w:t>
            </w:r>
          </w:p>
        </w:tc>
        <w:tc>
          <w:tcPr>
            <w:tcW w:w="2551" w:type="dxa"/>
            <w:vAlign w:val="center"/>
          </w:tcPr>
          <w:p>
            <w:pPr>
              <w:pStyle w:val="12"/>
            </w:pPr>
            <w:r>
              <w:rPr>
                <w:rFonts w:hint="eastAsia"/>
                <w:lang w:val="en-US" w:eastAsia="zh-CN"/>
              </w:rPr>
              <w:t>2572.9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rPr>
                <w:rFonts w:hint="default" w:eastAsia="方正书宋_GBK"/>
                <w:lang w:val="en-US" w:eastAsia="zh-CN"/>
              </w:rPr>
            </w:pPr>
            <w:r>
              <w:rPr>
                <w:rFonts w:hint="eastAsia"/>
                <w:lang w:val="en-US" w:eastAsia="zh-CN"/>
              </w:rPr>
              <w:t>97.4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97.4</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2379.19</w:t>
            </w:r>
          </w:p>
        </w:tc>
        <w:tc>
          <w:tcPr>
            <w:tcW w:w="2551" w:type="dxa"/>
            <w:vAlign w:val="center"/>
          </w:tcPr>
          <w:p>
            <w:pPr>
              <w:pStyle w:val="16"/>
              <w:rPr>
                <w:rFonts w:hint="default" w:eastAsia="方正书宋_GBK"/>
                <w:lang w:val="en-US" w:eastAsia="zh-CN"/>
              </w:rPr>
            </w:pPr>
            <w:r>
              <w:rPr>
                <w:rFonts w:hint="eastAsia"/>
                <w:lang w:val="en-US" w:eastAsia="zh-CN"/>
              </w:rPr>
              <w:t>193.71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rFonts w:hint="default" w:eastAsia="方正书宋_GBK"/>
                <w:lang w:val="en-US" w:eastAsia="zh-CN"/>
              </w:rPr>
            </w:pPr>
            <w:r>
              <w:rPr>
                <w:rFonts w:hint="eastAsia"/>
                <w:lang w:val="en-US" w:eastAsia="zh-CN"/>
              </w:rPr>
              <w:t xml:space="preserve">                                                                                                                                                                                                                                                                                           998.62</w:t>
            </w:r>
          </w:p>
        </w:tc>
        <w:tc>
          <w:tcPr>
            <w:tcW w:w="2551" w:type="dxa"/>
            <w:vAlign w:val="center"/>
          </w:tcPr>
          <w:p>
            <w:pPr>
              <w:pStyle w:val="12"/>
              <w:rPr>
                <w:rFonts w:hint="default" w:eastAsia="方正书宋_GBK"/>
                <w:lang w:val="en-US" w:eastAsia="zh-CN"/>
              </w:rPr>
            </w:pPr>
            <w:r>
              <w:rPr>
                <w:rFonts w:hint="eastAsia"/>
                <w:lang w:val="en-US" w:eastAsia="zh-CN"/>
              </w:rPr>
              <w:t>998.62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51</w:t>
            </w:r>
          </w:p>
        </w:tc>
        <w:tc>
          <w:tcPr>
            <w:tcW w:w="2551" w:type="dxa"/>
            <w:vAlign w:val="center"/>
          </w:tcPr>
          <w:p>
            <w:pPr>
              <w:pStyle w:val="12"/>
              <w:rPr>
                <w:rFonts w:hint="default" w:eastAsia="方正书宋_GBK"/>
                <w:lang w:val="en-US" w:eastAsia="zh-CN"/>
              </w:rPr>
            </w:pPr>
            <w:r>
              <w:rPr>
                <w:rFonts w:hint="eastAsia"/>
                <w:lang w:val="en-US" w:eastAsia="zh-CN"/>
              </w:rPr>
              <w:t>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191.73       </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rFonts w:hint="default" w:eastAsia="方正书宋_GBK"/>
                <w:lang w:val="en-US" w:eastAsia="zh-CN"/>
              </w:rPr>
            </w:pPr>
            <w:r>
              <w:rPr>
                <w:rFonts w:hint="eastAsia"/>
                <w:lang w:val="en-US" w:eastAsia="zh-CN"/>
              </w:rPr>
              <w:t xml:space="preserve">                                                                                                                                                                                                                                                                             112.15</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rPr>
                <w:rFonts w:hint="default" w:eastAsia="方正书宋_GBK"/>
                <w:lang w:val="en-US" w:eastAsia="zh-CN"/>
              </w:rPr>
            </w:pPr>
            <w:r>
              <w:rPr>
                <w:rFonts w:hint="eastAsia"/>
                <w:lang w:val="en-US" w:eastAsia="zh-CN"/>
              </w:rPr>
              <w:t>0.46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rPr>
                <w:rFonts w:hint="default" w:eastAsia="方正书宋_GBK"/>
                <w:lang w:val="en-US" w:eastAsia="zh-CN"/>
              </w:rPr>
            </w:pPr>
            <w:r>
              <w:rPr>
                <w:rFonts w:hint="eastAsia"/>
                <w:lang w:val="en-US" w:eastAsia="zh-CN"/>
              </w:rPr>
              <w:t>1.38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rPr>
                <w:rFonts w:hint="default" w:eastAsia="方正书宋_GBK"/>
                <w:lang w:val="en-US" w:eastAsia="zh-CN"/>
              </w:rPr>
            </w:pPr>
            <w:r>
              <w:rPr>
                <w:rFonts w:hint="eastAsia"/>
                <w:lang w:val="en-US" w:eastAsia="zh-CN"/>
              </w:rPr>
              <w:t>3.68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rPr>
                <w:rFonts w:hint="default" w:eastAsia="方正书宋_GBK"/>
                <w:lang w:val="en-US" w:eastAsia="zh-CN"/>
              </w:rPr>
            </w:pPr>
            <w:r>
              <w:rPr>
                <w:rFonts w:hint="eastAsia"/>
                <w:lang w:val="en-US" w:eastAsia="zh-CN"/>
              </w:rPr>
              <w:t>24.9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rPr>
                <w:rFonts w:hint="default" w:eastAsia="方正书宋_GBK"/>
                <w:lang w:val="en-US" w:eastAsia="zh-CN"/>
              </w:rPr>
            </w:pPr>
            <w:r>
              <w:rPr>
                <w:rFonts w:hint="eastAsia"/>
                <w:lang w:val="en-US" w:eastAsia="zh-CN"/>
              </w:rPr>
              <w:t>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rPr>
                <w:rFonts w:hint="default" w:eastAsia="方正书宋_GBK"/>
                <w:lang w:val="en-US" w:eastAsia="zh-CN"/>
              </w:rPr>
            </w:pPr>
            <w:r>
              <w:rPr>
                <w:rFonts w:hint="eastAsia"/>
                <w:lang w:val="en-US" w:eastAsia="zh-CN"/>
              </w:rPr>
              <w:t>2.76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rPr>
                <w:rFonts w:hint="default" w:eastAsia="方正书宋_GBK"/>
                <w:lang w:val="en-US" w:eastAsia="zh-CN"/>
              </w:rPr>
            </w:pPr>
            <w:r>
              <w:rPr>
                <w:rFonts w:hint="eastAsia"/>
                <w:lang w:val="en-US" w:eastAsia="zh-CN"/>
              </w:rPr>
              <w:t>3.88</w:t>
            </w:r>
          </w:p>
        </w:tc>
        <w:tc>
          <w:tcPr>
            <w:tcW w:w="2551" w:type="dxa"/>
            <w:vAlign w:val="center"/>
          </w:tcPr>
          <w:p>
            <w:pPr>
              <w:pStyle w:val="12"/>
            </w:pPr>
          </w:p>
        </w:tc>
        <w:tc>
          <w:tcPr>
            <w:tcW w:w="2551" w:type="dxa"/>
            <w:vAlign w:val="center"/>
          </w:tcPr>
          <w:p>
            <w:pPr>
              <w:pStyle w:val="12"/>
              <w:rPr>
                <w:rFonts w:hint="default" w:eastAsia="方正书宋_GBK"/>
                <w:lang w:val="en-US" w:eastAsia="zh-CN"/>
              </w:rPr>
            </w:pPr>
            <w:r>
              <w:t>3.</w:t>
            </w:r>
            <w:r>
              <w:rPr>
                <w:rFonts w:hint="eastAsia"/>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6.72</w:t>
            </w:r>
          </w:p>
        </w:tc>
        <w:tc>
          <w:tcPr>
            <w:tcW w:w="2551" w:type="dxa"/>
            <w:vAlign w:val="center"/>
          </w:tcPr>
          <w:p>
            <w:pPr>
              <w:pStyle w:val="12"/>
            </w:pPr>
          </w:p>
        </w:tc>
        <w:tc>
          <w:tcPr>
            <w:tcW w:w="2551" w:type="dxa"/>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rPr>
                <w:rFonts w:hint="default" w:eastAsia="方正书宋_GBK"/>
                <w:lang w:val="en-US" w:eastAsia="zh-CN"/>
              </w:rPr>
            </w:pPr>
            <w:r>
              <w:rPr>
                <w:rFonts w:hint="eastAsia"/>
                <w:lang w:val="en-US" w:eastAsia="zh-CN"/>
              </w:rPr>
              <w:t>2.9</w:t>
            </w:r>
          </w:p>
        </w:tc>
        <w:tc>
          <w:tcPr>
            <w:tcW w:w="2551" w:type="dxa"/>
            <w:vAlign w:val="center"/>
          </w:tcPr>
          <w:p>
            <w:pPr>
              <w:pStyle w:val="12"/>
            </w:pPr>
          </w:p>
        </w:tc>
        <w:tc>
          <w:tcPr>
            <w:tcW w:w="2551" w:type="dxa"/>
            <w:vAlign w:val="center"/>
          </w:tcPr>
          <w:p>
            <w:pPr>
              <w:pStyle w:val="1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rPr>
                <w:rFonts w:hint="default" w:eastAsia="方正书宋_GBK"/>
                <w:lang w:val="en-US" w:eastAsia="zh-CN"/>
              </w:rPr>
            </w:pPr>
            <w:r>
              <w:rPr>
                <w:rFonts w:hint="eastAsia"/>
                <w:lang w:val="en-US" w:eastAsia="zh-CN"/>
              </w:rPr>
              <w:t>0.49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rFonts w:hint="default" w:eastAsia="方正书宋_GBK"/>
                <w:lang w:val="en-US" w:eastAsia="zh-CN"/>
              </w:rPr>
            </w:pPr>
            <w:r>
              <w:rPr>
                <w:rFonts w:hint="eastAsia"/>
                <w:lang w:val="en-US" w:eastAsia="zh-CN"/>
              </w:rPr>
              <w:t>6.94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rFonts w:hint="default" w:eastAsia="方正书宋_GBK"/>
                <w:lang w:val="en-US" w:eastAsia="zh-CN"/>
              </w:rPr>
            </w:pPr>
            <w:r>
              <w:rPr>
                <w:rFonts w:hint="eastAsia"/>
                <w:lang w:val="en-US" w:eastAsia="zh-CN"/>
              </w:rPr>
              <w:t>4.83</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rPr>
                <w:rFonts w:hint="default" w:eastAsia="方正书宋_GBK"/>
                <w:lang w:val="en-US" w:eastAsia="zh-CN"/>
              </w:rPr>
            </w:pPr>
            <w:r>
              <w:rPr>
                <w:rFonts w:hint="eastAsia"/>
                <w:lang w:val="en-US" w:eastAsia="zh-CN"/>
              </w:rPr>
              <w:t>9.2</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rPr>
                <w:rFonts w:hint="default" w:eastAsia="方正书宋_GBK"/>
                <w:lang w:val="en-US" w:eastAsia="zh-CN"/>
              </w:rPr>
            </w:pPr>
            <w:r>
              <w:rPr>
                <w:rFonts w:hint="eastAsia"/>
                <w:lang w:val="en-US" w:eastAsia="zh-CN"/>
              </w:rPr>
              <w:t>2.28</w:t>
            </w:r>
          </w:p>
        </w:tc>
        <w:tc>
          <w:tcPr>
            <w:tcW w:w="2551" w:type="dxa"/>
            <w:vAlign w:val="center"/>
          </w:tcPr>
          <w:p>
            <w:pPr>
              <w:pStyle w:val="12"/>
            </w:pP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 w:name="_Toc_2_2_0000000008"/>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预算国有资本经营预算财政拨款支出表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2" w:name="_Toc_2_2_0000000009"/>
      <w:r>
        <w:rPr>
          <w:rFonts w:hint="eastAsia" w:ascii="方正小标宋_GBK" w:hAnsi="方正小标宋_GBK" w:eastAsia="方正小标宋_GBK" w:cs="方正小标宋_GBK"/>
          <w:color w:val="000000"/>
          <w:sz w:val="36"/>
          <w:lang w:val="en-US" w:eastAsia="zh-CN"/>
        </w:rPr>
        <w:t>部门</w:t>
      </w:r>
      <w:r>
        <w:rPr>
          <w:rFonts w:ascii="方正小标宋_GBK" w:hAnsi="方正小标宋_GBK" w:eastAsia="方正小标宋_GBK" w:cs="方正小标宋_GBK"/>
          <w:color w:val="000000"/>
          <w:sz w:val="36"/>
        </w:rPr>
        <w:t>预算财政拨款“三公”经费支出表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38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3</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5</w:t>
            </w:r>
          </w:p>
        </w:tc>
        <w:tc>
          <w:tcPr>
            <w:tcW w:w="3798" w:type="dxa"/>
            <w:vAlign w:val="center"/>
          </w:tcPr>
          <w:p>
            <w:pPr>
              <w:pStyle w:val="13"/>
            </w:pPr>
            <w:r>
              <w:t>二、公务用车购置及运维费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7</w:t>
            </w:r>
          </w:p>
        </w:tc>
        <w:tc>
          <w:tcPr>
            <w:tcW w:w="3798" w:type="dxa"/>
            <w:vAlign w:val="center"/>
          </w:tcPr>
          <w:p>
            <w:pPr>
              <w:pStyle w:val="13"/>
            </w:pPr>
            <w:r>
              <w:t xml:space="preserve">          公务用车运行维护费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8</w:t>
            </w:r>
          </w:p>
        </w:tc>
        <w:tc>
          <w:tcPr>
            <w:tcW w:w="3798" w:type="dxa"/>
            <w:vAlign w:val="center"/>
          </w:tcPr>
          <w:p>
            <w:pPr>
              <w:pStyle w:val="13"/>
            </w:pPr>
            <w:r>
              <w:t>三、公务接待费</w:t>
            </w:r>
          </w:p>
        </w:tc>
        <w:tc>
          <w:tcPr>
            <w:tcW w:w="2382" w:type="dxa"/>
            <w:vAlign w:val="center"/>
          </w:tcPr>
          <w:p>
            <w:pPr>
              <w:pStyle w:val="12"/>
              <w:wordWrap w:val="0"/>
              <w:rPr>
                <w:rFonts w:hint="default" w:eastAsia="方正书宋_GBK"/>
                <w:lang w:val="en-US" w:eastAsia="zh-CN"/>
              </w:rPr>
            </w:pPr>
            <w:r>
              <w:rPr>
                <w:rFonts w:hint="eastAsia"/>
                <w:lang w:val="en-US" w:eastAsia="zh-CN"/>
              </w:rPr>
              <w:t xml:space="preserve"> 0.49</w:t>
            </w:r>
          </w:p>
        </w:tc>
        <w:tc>
          <w:tcPr>
            <w:tcW w:w="2381" w:type="dxa"/>
            <w:vAlign w:val="center"/>
          </w:tcPr>
          <w:p>
            <w:pPr>
              <w:pStyle w:val="12"/>
              <w:rPr>
                <w:rFonts w:hint="default" w:eastAsia="方正书宋_GBK"/>
                <w:lang w:val="en-US" w:eastAsia="zh-CN"/>
              </w:rPr>
            </w:pPr>
            <w:r>
              <w:rPr>
                <w:rFonts w:hint="eastAsia"/>
                <w:lang w:val="en-US" w:eastAsia="zh-CN"/>
              </w:rPr>
              <w:t>0.49</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霸州市融媒体中心2022年部门预算信息公开情况</w:t>
      </w:r>
    </w:p>
    <w:p/>
    <w:p/>
    <w:p>
      <w:pPr>
        <w:jc w:val="center"/>
      </w:pPr>
      <w:r>
        <w:rPr>
          <w:rFonts w:ascii="方正小标宋_GBK" w:hAnsi="方正小标宋_GBK" w:eastAsia="方正小标宋_GBK" w:cs="方正小标宋_GBK"/>
          <w:color w:val="000000"/>
          <w:sz w:val="44"/>
        </w:rPr>
        <w:t>霸州市融媒体中心202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部门</w:t>
      </w:r>
      <w:r>
        <w:rPr>
          <w:rFonts w:ascii="方正小标宋_GBK" w:hAnsi="方正小标宋_GBK" w:eastAsia="方正小标宋_GBK" w:cs="方正小标宋_GBK"/>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按照《预算法》、《地方预决算公开操作规程》和《关于进一步推进预算公开工作的实施意见》规定，现将霸州市融媒体中心202</w:t>
      </w:r>
      <w:r>
        <w:rPr>
          <w:rFonts w:hint="eastAsia" w:eastAsia="方正仿宋_GBK"/>
          <w:color w:val="000000"/>
          <w:sz w:val="28"/>
          <w:lang w:val="en-US" w:eastAsia="zh-CN"/>
        </w:rPr>
        <w:t>3</w:t>
      </w:r>
      <w:r>
        <w:rPr>
          <w:rFonts w:eastAsia="方正仿宋_GBK"/>
          <w:color w:val="000000"/>
          <w:sz w:val="28"/>
        </w:rPr>
        <w:t>年部门预算公开如下：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3" w:name="_Toc_3_3_0000000010"/>
      <w:r>
        <w:rPr>
          <w:rFonts w:ascii="黑体" w:hAnsi="黑体" w:eastAsia="黑体" w:cs="黑体"/>
          <w:color w:val="000000"/>
          <w:sz w:val="32"/>
        </w:rPr>
        <w:t>一、部门职责及机构设置情况</w:t>
      </w:r>
      <w:bookmarkEnd w:id="3"/>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部门职责：</w:t>
      </w:r>
    </w:p>
    <w:p>
      <w:pPr>
        <w:pStyle w:val="8"/>
        <w:keepNext w:val="0"/>
        <w:keepLines w:val="0"/>
        <w:pageBreakBefore w:val="0"/>
        <w:widowControl/>
        <w:kinsoku/>
        <w:wordWrap/>
        <w:overflowPunct/>
        <w:topLinePunct w:val="0"/>
        <w:autoSpaceDE/>
        <w:autoSpaceDN/>
        <w:bidi w:val="0"/>
        <w:adjustRightInd/>
        <w:snapToGrid/>
        <w:jc w:val="both"/>
        <w:textAlignment w:val="auto"/>
      </w:pPr>
      <w:r>
        <w:t>（一）落实党管宣传、党管意识形态、党管媒体政策，贯彻执行党的新闻宣传方针政策，宣传党的理论、路线和各项方针政策，把握新闻宣传基调，坚持正面宣传、团结鼓励，为全市经济社会发展提供舆论支持；</w:t>
      </w:r>
    </w:p>
    <w:p>
      <w:pPr>
        <w:pStyle w:val="8"/>
        <w:keepNext w:val="0"/>
        <w:keepLines w:val="0"/>
        <w:pageBreakBefore w:val="0"/>
        <w:widowControl/>
        <w:kinsoku/>
        <w:wordWrap/>
        <w:overflowPunct/>
        <w:topLinePunct w:val="0"/>
        <w:autoSpaceDE/>
        <w:autoSpaceDN/>
        <w:bidi w:val="0"/>
        <w:adjustRightInd/>
        <w:snapToGrid/>
        <w:jc w:val="both"/>
        <w:textAlignment w:val="auto"/>
      </w:pPr>
      <w:r>
        <w:t>（二）负责管理所属报纸、广播、电视、网站、新媒体等平台，围绕市委、市政府中心工作，积极开展新闻网络内外宣传，落实全市新闻报道计划，完成上级下达的各项内外宣传和创优任务；</w:t>
      </w:r>
    </w:p>
    <w:p>
      <w:pPr>
        <w:pStyle w:val="8"/>
        <w:keepNext w:val="0"/>
        <w:keepLines w:val="0"/>
        <w:pageBreakBefore w:val="0"/>
        <w:widowControl/>
        <w:kinsoku/>
        <w:wordWrap/>
        <w:overflowPunct/>
        <w:topLinePunct w:val="0"/>
        <w:autoSpaceDE/>
        <w:autoSpaceDN/>
        <w:bidi w:val="0"/>
        <w:adjustRightInd/>
        <w:snapToGrid/>
        <w:jc w:val="both"/>
        <w:textAlignment w:val="auto"/>
      </w:pPr>
      <w:r>
        <w:t>（三）负责本级报纸、广播、电视、网站、新媒体事业的融合规划、建设与发展，指导所属事业单位依法开展相关社会服务活动；</w:t>
      </w:r>
    </w:p>
    <w:p>
      <w:pPr>
        <w:pStyle w:val="8"/>
        <w:keepNext w:val="0"/>
        <w:keepLines w:val="0"/>
        <w:pageBreakBefore w:val="0"/>
        <w:widowControl/>
        <w:kinsoku/>
        <w:wordWrap/>
        <w:overflowPunct/>
        <w:topLinePunct w:val="0"/>
        <w:autoSpaceDE/>
        <w:autoSpaceDN/>
        <w:bidi w:val="0"/>
        <w:adjustRightInd/>
        <w:snapToGrid/>
        <w:jc w:val="both"/>
        <w:textAlignment w:val="auto"/>
      </w:pPr>
      <w:r>
        <w:t>（四）负责报纸、广播、电视、网站、新媒体等高新技术的研究、开发，促进新技术和新科研成果的应用，参与全市信息产业、大数据、智慧城市等项目的规划与建设；</w:t>
      </w:r>
    </w:p>
    <w:p>
      <w:pPr>
        <w:pStyle w:val="8"/>
        <w:keepNext w:val="0"/>
        <w:keepLines w:val="0"/>
        <w:pageBreakBefore w:val="0"/>
        <w:widowControl/>
        <w:kinsoku/>
        <w:wordWrap/>
        <w:overflowPunct/>
        <w:topLinePunct w:val="0"/>
        <w:autoSpaceDE/>
        <w:autoSpaceDN/>
        <w:bidi w:val="0"/>
        <w:adjustRightInd/>
        <w:snapToGrid/>
        <w:jc w:val="both"/>
        <w:textAlignment w:val="auto"/>
      </w:pPr>
      <w:r>
        <w:t>（五）坚持以人民为中心的工作导向，顺应群众多样化信息需求，做精做强媒体主业，探索“媒体+政务”“媒体+服务”等运行模式，从新闻宣传向公共服务领域拓展；</w:t>
      </w:r>
    </w:p>
    <w:p>
      <w:pPr>
        <w:pStyle w:val="8"/>
        <w:keepNext w:val="0"/>
        <w:keepLines w:val="0"/>
        <w:pageBreakBefore w:val="0"/>
        <w:widowControl/>
        <w:kinsoku/>
        <w:wordWrap/>
        <w:overflowPunct/>
        <w:topLinePunct w:val="0"/>
        <w:autoSpaceDE/>
        <w:autoSpaceDN/>
        <w:bidi w:val="0"/>
        <w:adjustRightInd/>
        <w:snapToGrid/>
        <w:jc w:val="both"/>
        <w:textAlignment w:val="auto"/>
      </w:pPr>
      <w:r>
        <w:t>（六）负责全市新闻业务管理和对外通联工作，抓好全市新闻网络宣传阵地和人才队伍建设；</w:t>
      </w:r>
    </w:p>
    <w:p>
      <w:pPr>
        <w:pStyle w:val="8"/>
        <w:keepNext w:val="0"/>
        <w:keepLines w:val="0"/>
        <w:pageBreakBefore w:val="0"/>
        <w:widowControl/>
        <w:kinsoku/>
        <w:wordWrap/>
        <w:overflowPunct/>
        <w:topLinePunct w:val="0"/>
        <w:autoSpaceDE/>
        <w:autoSpaceDN/>
        <w:bidi w:val="0"/>
        <w:adjustRightInd/>
        <w:snapToGrid/>
        <w:jc w:val="both"/>
        <w:textAlignment w:val="auto"/>
      </w:pPr>
      <w:r>
        <w:t>（七）协助配合上级媒体和新闻单位来霸州采访及其他工作，维护市内舆论安全；</w:t>
      </w:r>
    </w:p>
    <w:p>
      <w:pPr>
        <w:pStyle w:val="8"/>
        <w:keepNext w:val="0"/>
        <w:keepLines w:val="0"/>
        <w:pageBreakBefore w:val="0"/>
        <w:widowControl/>
        <w:kinsoku/>
        <w:wordWrap/>
        <w:overflowPunct/>
        <w:topLinePunct w:val="0"/>
        <w:autoSpaceDE/>
        <w:autoSpaceDN/>
        <w:bidi w:val="0"/>
        <w:adjustRightInd/>
        <w:snapToGrid/>
        <w:jc w:val="both"/>
        <w:textAlignment w:val="auto"/>
      </w:pPr>
      <w:r>
        <w:t>（八）承办市委、市政府交办的其他事项。</w:t>
      </w:r>
    </w:p>
    <w:p>
      <w:pPr>
        <w:pStyle w:val="8"/>
        <w:keepNext w:val="0"/>
        <w:keepLines w:val="0"/>
        <w:pageBreakBefore w:val="0"/>
        <w:widowControl/>
        <w:kinsoku/>
        <w:wordWrap/>
        <w:overflowPunct/>
        <w:topLinePunct w:val="0"/>
        <w:autoSpaceDE/>
        <w:autoSpaceDN/>
        <w:bidi w:val="0"/>
        <w:adjustRightInd/>
        <w:snapToGrid/>
        <w:jc w:val="both"/>
        <w:textAlignment w:val="auto"/>
      </w:pPr>
      <w:r>
        <w:t>二、内设机构根据上述职责，霸州市融媒体中心设12个内设机构：</w:t>
      </w:r>
    </w:p>
    <w:p>
      <w:pPr>
        <w:pStyle w:val="8"/>
        <w:keepNext w:val="0"/>
        <w:keepLines w:val="0"/>
        <w:pageBreakBefore w:val="0"/>
        <w:widowControl/>
        <w:kinsoku/>
        <w:wordWrap/>
        <w:overflowPunct/>
        <w:topLinePunct w:val="0"/>
        <w:autoSpaceDE/>
        <w:autoSpaceDN/>
        <w:bidi w:val="0"/>
        <w:adjustRightInd/>
        <w:snapToGrid/>
        <w:jc w:val="both"/>
        <w:textAlignment w:val="auto"/>
      </w:pPr>
      <w:r>
        <w:t>（一）办公室主要负责党建、纪检、监察、群团、文秘、会务、档案、信息、印章等项工作；协助中心领导协调有关重点工作，负责重要决策和重要决议贯彻执行的督查督办。</w:t>
      </w:r>
    </w:p>
    <w:p>
      <w:pPr>
        <w:pStyle w:val="8"/>
        <w:keepNext w:val="0"/>
        <w:keepLines w:val="0"/>
        <w:pageBreakBefore w:val="0"/>
        <w:widowControl/>
        <w:kinsoku/>
        <w:wordWrap/>
        <w:overflowPunct/>
        <w:topLinePunct w:val="0"/>
        <w:autoSpaceDE/>
        <w:autoSpaceDN/>
        <w:bidi w:val="0"/>
        <w:adjustRightInd/>
        <w:snapToGrid/>
        <w:jc w:val="both"/>
        <w:textAlignment w:val="auto"/>
      </w:pPr>
      <w:r>
        <w:t>（二）总编室主要负责意识形态、新闻宣传管理、融媒体指挥调度、选题策划、资源协调、发布审核、外宣联络等工作。</w:t>
      </w:r>
    </w:p>
    <w:p>
      <w:pPr>
        <w:pStyle w:val="8"/>
        <w:keepNext w:val="0"/>
        <w:keepLines w:val="0"/>
        <w:pageBreakBefore w:val="0"/>
        <w:widowControl/>
        <w:kinsoku/>
        <w:wordWrap/>
        <w:overflowPunct/>
        <w:topLinePunct w:val="0"/>
        <w:autoSpaceDE/>
        <w:autoSpaceDN/>
        <w:bidi w:val="0"/>
        <w:adjustRightInd/>
        <w:snapToGrid/>
        <w:jc w:val="both"/>
        <w:textAlignment w:val="auto"/>
      </w:pPr>
      <w:r>
        <w:t>（三）采访部主要负责分派记者完成新闻采访任务；按照要求完成稿件撰写、视频粗编、图片拍摄等基础工作，实现“一次采集”，并将新闻“半成品”及素材上传到融媒汇聚平台。</w:t>
      </w:r>
    </w:p>
    <w:p>
      <w:pPr>
        <w:pStyle w:val="8"/>
        <w:keepNext w:val="0"/>
        <w:keepLines w:val="0"/>
        <w:pageBreakBefore w:val="0"/>
        <w:widowControl/>
        <w:kinsoku/>
        <w:wordWrap/>
        <w:overflowPunct/>
        <w:topLinePunct w:val="0"/>
        <w:autoSpaceDE/>
        <w:autoSpaceDN/>
        <w:bidi w:val="0"/>
        <w:adjustRightInd/>
        <w:snapToGrid/>
        <w:jc w:val="both"/>
        <w:textAlignment w:val="auto"/>
      </w:pPr>
      <w:r>
        <w:t>（四）平面部主要负责对收集到的新闻“半成品”进行“再次加工”， 送审通过后在报纸进行推送和发布；做好《新霸州》的编辑、出版、发行等工作。</w:t>
      </w:r>
    </w:p>
    <w:p>
      <w:pPr>
        <w:pStyle w:val="8"/>
        <w:keepNext w:val="0"/>
        <w:keepLines w:val="0"/>
        <w:pageBreakBefore w:val="0"/>
        <w:widowControl/>
        <w:kinsoku/>
        <w:wordWrap/>
        <w:overflowPunct/>
        <w:topLinePunct w:val="0"/>
        <w:autoSpaceDE/>
        <w:autoSpaceDN/>
        <w:bidi w:val="0"/>
        <w:adjustRightInd/>
        <w:snapToGrid/>
        <w:jc w:val="both"/>
        <w:textAlignment w:val="auto"/>
      </w:pPr>
      <w:r>
        <w:t>（五）广播电视部主要负责对收集到的新闻“半成品”进行“再次加工”，送审通过后在广播、电视进行推送和发布；做好广播频率、电视频道的宣传和节目制作、生产、调配等工作。</w:t>
      </w:r>
    </w:p>
    <w:p>
      <w:pPr>
        <w:pStyle w:val="8"/>
        <w:keepNext w:val="0"/>
        <w:keepLines w:val="0"/>
        <w:pageBreakBefore w:val="0"/>
        <w:widowControl/>
        <w:kinsoku/>
        <w:wordWrap/>
        <w:overflowPunct/>
        <w:topLinePunct w:val="0"/>
        <w:autoSpaceDE/>
        <w:autoSpaceDN/>
        <w:bidi w:val="0"/>
        <w:adjustRightInd/>
        <w:snapToGrid/>
        <w:jc w:val="both"/>
        <w:textAlignment w:val="auto"/>
      </w:pPr>
      <w:r>
        <w:t>（六）新媒体部主要负责对收集到的新闻“半成品”进行“再次加工”，送审通过后在微信、微博、移动客户端等渠道进行推送和发布，实现“多元传播”；创新生产网络视听产品，对新闻产品深度挖掘和推广，运营融媒体中心网络、微信、微博和移动客户端等工作。</w:t>
      </w:r>
    </w:p>
    <w:p>
      <w:pPr>
        <w:pStyle w:val="8"/>
        <w:keepNext w:val="0"/>
        <w:keepLines w:val="0"/>
        <w:pageBreakBefore w:val="0"/>
        <w:widowControl/>
        <w:kinsoku/>
        <w:wordWrap/>
        <w:overflowPunct/>
        <w:topLinePunct w:val="0"/>
        <w:autoSpaceDE/>
        <w:autoSpaceDN/>
        <w:bidi w:val="0"/>
        <w:adjustRightInd/>
        <w:snapToGrid/>
        <w:jc w:val="both"/>
        <w:textAlignment w:val="auto"/>
      </w:pPr>
      <w:r>
        <w:t>（七）政务服务部主要负责探索“媒体+政务”、“媒体+服务”等运行模式，积极参与智慧政务建设，整合党政部门信息资源，对接党政部门技术平台，打造“指尖上的政务服务中心”。</w:t>
      </w:r>
    </w:p>
    <w:p>
      <w:pPr>
        <w:pStyle w:val="8"/>
        <w:keepNext w:val="0"/>
        <w:keepLines w:val="0"/>
        <w:pageBreakBefore w:val="0"/>
        <w:widowControl/>
        <w:kinsoku/>
        <w:wordWrap/>
        <w:overflowPunct/>
        <w:topLinePunct w:val="0"/>
        <w:autoSpaceDE/>
        <w:autoSpaceDN/>
        <w:bidi w:val="0"/>
        <w:adjustRightInd/>
        <w:snapToGrid/>
        <w:jc w:val="both"/>
        <w:textAlignment w:val="auto"/>
      </w:pPr>
      <w:r>
        <w:t>（八）专题活动部主要负责分析、研究党委、政府及重点部门彰显全局性、指导性的重大宣传题材，策划制作专题类、社教类等精品节目；负责组织开展各类群众性文化、体育、科普、公益活动，开展各类商务、会展、节庆等活动。</w:t>
      </w:r>
    </w:p>
    <w:p>
      <w:pPr>
        <w:pStyle w:val="8"/>
        <w:keepNext w:val="0"/>
        <w:keepLines w:val="0"/>
        <w:pageBreakBefore w:val="0"/>
        <w:widowControl/>
        <w:kinsoku/>
        <w:wordWrap/>
        <w:overflowPunct/>
        <w:topLinePunct w:val="0"/>
        <w:autoSpaceDE/>
        <w:autoSpaceDN/>
        <w:bidi w:val="0"/>
        <w:adjustRightInd/>
        <w:snapToGrid/>
        <w:jc w:val="both"/>
        <w:textAlignment w:val="auto"/>
      </w:pPr>
      <w:r>
        <w:t>（九）技术部主要负责采访、编辑和播出设备的运行维护，为采编、发布提供相应的技术支持；学习引进技术创新，为拓展融媒体功能和安全发布提供技术支撑；负责广播电视节目的播出管理;负责中、省、市广播电视节目的微波传输推广任务。</w:t>
      </w:r>
    </w:p>
    <w:p>
      <w:pPr>
        <w:pStyle w:val="8"/>
        <w:keepNext w:val="0"/>
        <w:keepLines w:val="0"/>
        <w:pageBreakBefore w:val="0"/>
        <w:widowControl/>
        <w:kinsoku/>
        <w:wordWrap/>
        <w:overflowPunct/>
        <w:topLinePunct w:val="0"/>
        <w:autoSpaceDE/>
        <w:autoSpaceDN/>
        <w:bidi w:val="0"/>
        <w:adjustRightInd/>
        <w:snapToGrid/>
        <w:jc w:val="both"/>
        <w:textAlignment w:val="auto"/>
      </w:pPr>
      <w:r>
        <w:t>（十）人力资源部主要负责机构设置、人力资源的调配和培训；组织开展绩效考评、薪酬福利、社会保障、专技评聘等日常业务。</w:t>
      </w:r>
    </w:p>
    <w:p>
      <w:pPr>
        <w:pStyle w:val="8"/>
        <w:keepNext w:val="0"/>
        <w:keepLines w:val="0"/>
        <w:pageBreakBefore w:val="0"/>
        <w:widowControl/>
        <w:kinsoku/>
        <w:wordWrap/>
        <w:overflowPunct/>
        <w:topLinePunct w:val="0"/>
        <w:autoSpaceDE/>
        <w:autoSpaceDN/>
        <w:bidi w:val="0"/>
        <w:adjustRightInd/>
        <w:snapToGrid/>
        <w:jc w:val="both"/>
        <w:textAlignment w:val="auto"/>
      </w:pPr>
      <w:r>
        <w:t>（十一）财务部主要负责编制年度财务预算、财务决算；组织财务核算，加强财务运行监管；编制相关报表，管理财务档案等工作。</w:t>
      </w:r>
    </w:p>
    <w:p>
      <w:pPr>
        <w:pStyle w:val="8"/>
        <w:keepNext w:val="0"/>
        <w:keepLines w:val="0"/>
        <w:pageBreakBefore w:val="0"/>
        <w:widowControl/>
        <w:kinsoku/>
        <w:wordWrap/>
        <w:overflowPunct/>
        <w:topLinePunct w:val="0"/>
        <w:autoSpaceDE/>
        <w:autoSpaceDN/>
        <w:bidi w:val="0"/>
        <w:adjustRightInd/>
        <w:snapToGrid/>
        <w:jc w:val="both"/>
        <w:textAlignment w:val="auto"/>
      </w:pPr>
      <w:r>
        <w:t>（十二）运行保障部主要负责车辆、物资、安保、卫生等事务和公共设施的管理、维护；负责中心所有设备的管理；负责全媒体数据库的建设和管理。</w:t>
      </w:r>
    </w:p>
    <w:p>
      <w:pPr>
        <w:pStyle w:val="8"/>
        <w:keepNext w:val="0"/>
        <w:keepLines w:val="0"/>
        <w:pageBreakBefore w:val="0"/>
        <w:widowControl/>
        <w:kinsoku/>
        <w:wordWrap/>
        <w:overflowPunct/>
        <w:topLinePunct w:val="0"/>
        <w:autoSpaceDE/>
        <w:autoSpaceDN/>
        <w:bidi w:val="0"/>
        <w:adjustRightInd/>
        <w:snapToGrid/>
        <w:jc w:val="both"/>
        <w:textAlignment w:val="auto"/>
      </w:pPr>
      <w:r>
        <w:t>三、霸州市融媒体中心财政拨款事业编制49名，其中，设主任1名（正科级），副主任3名（副科级）；股级领导职数21名（正股级12名、副股级9名）。</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部门</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霸州市融媒体中心本级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4"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部门</w:t>
      </w:r>
      <w:r>
        <w:rPr>
          <w:rFonts w:ascii="黑体" w:hAnsi="黑体" w:eastAsia="黑体" w:cs="黑体"/>
          <w:color w:val="000000"/>
          <w:sz w:val="32"/>
        </w:rPr>
        <w:t>预算安排的总体情况</w:t>
      </w:r>
      <w:bookmarkEnd w:id="4"/>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市部门</w:t>
      </w:r>
      <w:r>
        <w:rPr>
          <w:rFonts w:eastAsia="方正仿宋_GBK"/>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1、收入说明</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反映本</w:t>
      </w:r>
      <w:r>
        <w:rPr>
          <w:rFonts w:hint="eastAsia"/>
          <w:lang w:val="en-US" w:eastAsia="zh-CN"/>
        </w:rPr>
        <w:t>部门</w:t>
      </w:r>
      <w:r>
        <w:rPr>
          <w:rFonts w:hint="eastAsia"/>
        </w:rPr>
        <w:t>当年全部收入。20</w:t>
      </w:r>
      <w:r>
        <w:t>2</w:t>
      </w:r>
      <w:r>
        <w:rPr>
          <w:rFonts w:hint="eastAsia"/>
          <w:lang w:val="en-US" w:eastAsia="zh-CN"/>
        </w:rPr>
        <w:t>3</w:t>
      </w:r>
      <w:r>
        <w:rPr>
          <w:rFonts w:hint="eastAsia"/>
        </w:rPr>
        <w:t>年预算收入</w:t>
      </w:r>
      <w:r>
        <w:rPr>
          <w:rFonts w:hint="eastAsia" w:eastAsiaTheme="minorEastAsia"/>
          <w:lang w:val="en-US" w:eastAsia="zh-CN"/>
        </w:rPr>
        <w:t>2670.3</w:t>
      </w:r>
      <w:r>
        <w:rPr>
          <w:rFonts w:hint="eastAsia"/>
        </w:rPr>
        <w:t>万元，其中：一般公共预算收入</w:t>
      </w:r>
      <w:r>
        <w:rPr>
          <w:rFonts w:hint="eastAsia" w:eastAsiaTheme="minorEastAsia"/>
          <w:lang w:val="en-US" w:eastAsia="zh-CN"/>
        </w:rPr>
        <w:t>2654.1</w:t>
      </w:r>
      <w:r>
        <w:rPr>
          <w:rFonts w:hint="eastAsia"/>
        </w:rPr>
        <w:t>万元，政府性基金预算收入0</w:t>
      </w:r>
      <w:r>
        <w:t>万元</w:t>
      </w:r>
      <w:r>
        <w:rPr>
          <w:rFonts w:hint="eastAsia"/>
        </w:rPr>
        <w:t>，国有资本经营</w:t>
      </w:r>
      <w:r>
        <w:t>预算收入</w:t>
      </w:r>
      <w:r>
        <w:rPr>
          <w:rFonts w:hint="eastAsia"/>
        </w:rPr>
        <w:t>0</w:t>
      </w:r>
      <w:r>
        <w:t>万元</w:t>
      </w:r>
      <w:r>
        <w:rPr>
          <w:rFonts w:hint="eastAsia"/>
        </w:rPr>
        <w:t>，财政专户管理资金收入0万元，</w:t>
      </w:r>
      <w:r>
        <w:t>上级补助收入</w:t>
      </w:r>
      <w:r>
        <w:rPr>
          <w:rFonts w:hint="eastAsia"/>
        </w:rPr>
        <w:t>0</w:t>
      </w:r>
      <w:r>
        <w:t>万元，</w:t>
      </w:r>
      <w:r>
        <w:rPr>
          <w:rFonts w:hint="eastAsia"/>
        </w:rPr>
        <w:t>事业收入0万元，经营</w:t>
      </w:r>
      <w:r>
        <w:t>收入</w:t>
      </w:r>
      <w:r>
        <w:rPr>
          <w:rFonts w:hint="eastAsia"/>
        </w:rPr>
        <w:t>0万元，附属单位上缴</w:t>
      </w:r>
      <w:r>
        <w:t>收入</w:t>
      </w:r>
      <w:r>
        <w:rPr>
          <w:rFonts w:hint="eastAsia"/>
        </w:rPr>
        <w:t>0</w:t>
      </w:r>
      <w:r>
        <w:t>万元，</w:t>
      </w:r>
      <w:r>
        <w:rPr>
          <w:rFonts w:hint="eastAsia"/>
        </w:rPr>
        <w:t>其他收入0万元，上年结转</w:t>
      </w:r>
      <w:r>
        <w:rPr>
          <w:rFonts w:hint="eastAsia" w:eastAsiaTheme="minorEastAsia"/>
          <w:lang w:val="en-US" w:eastAsia="zh-CN"/>
        </w:rPr>
        <w:t>16.2</w:t>
      </w:r>
      <w:r>
        <w:rPr>
          <w:rFonts w:hint="eastAsia"/>
        </w:rPr>
        <w:t>万元。</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2、支出说明</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收支预算总表支出栏、基本支出表、项目支出表按经济分类和支出功能分类科目编制，反映霸州市融媒体中心20</w:t>
      </w:r>
      <w:r>
        <w:t>2</w:t>
      </w:r>
      <w:r>
        <w:rPr>
          <w:rFonts w:hint="eastAsia"/>
          <w:lang w:val="en-US" w:eastAsia="zh-CN"/>
        </w:rPr>
        <w:t>3</w:t>
      </w:r>
      <w:r>
        <w:rPr>
          <w:rFonts w:hint="eastAsia"/>
        </w:rPr>
        <w:t>年度</w:t>
      </w:r>
      <w:r>
        <w:rPr>
          <w:rFonts w:hint="eastAsia"/>
          <w:lang w:val="en-US" w:eastAsia="zh-CN"/>
        </w:rPr>
        <w:t>部门</w:t>
      </w:r>
      <w:r>
        <w:rPr>
          <w:rFonts w:hint="eastAsia"/>
        </w:rPr>
        <w:t>预算中支出预算的总体情况。20</w:t>
      </w:r>
      <w:r>
        <w:t>2</w:t>
      </w:r>
      <w:r>
        <w:rPr>
          <w:rFonts w:hint="eastAsia"/>
          <w:lang w:val="en-US" w:eastAsia="zh-CN"/>
        </w:rPr>
        <w:t>3</w:t>
      </w:r>
      <w:r>
        <w:rPr>
          <w:rFonts w:hint="eastAsia"/>
        </w:rPr>
        <w:t>年本部门支出预算</w:t>
      </w:r>
      <w:r>
        <w:rPr>
          <w:rFonts w:hint="eastAsia" w:eastAsiaTheme="minorEastAsia"/>
          <w:lang w:val="en-US" w:eastAsia="zh-CN"/>
        </w:rPr>
        <w:t>2670.3</w:t>
      </w:r>
      <w:r>
        <w:rPr>
          <w:rFonts w:hint="eastAsia"/>
        </w:rPr>
        <w:t>万元，其中：基本支出</w:t>
      </w:r>
      <w:r>
        <w:rPr>
          <w:rFonts w:hint="eastAsia" w:eastAsiaTheme="minorEastAsia"/>
          <w:lang w:val="en-US" w:eastAsia="zh-CN"/>
        </w:rPr>
        <w:t>2572.9</w:t>
      </w:r>
      <w:r>
        <w:rPr>
          <w:rFonts w:hint="eastAsia"/>
        </w:rPr>
        <w:t>万元，包括：人员类项目经费</w:t>
      </w:r>
      <w:r>
        <w:rPr>
          <w:rFonts w:hint="eastAsia" w:eastAsiaTheme="minorEastAsia"/>
          <w:lang w:val="en-US" w:eastAsia="zh-CN"/>
        </w:rPr>
        <w:t>2379.19</w:t>
      </w:r>
      <w:r>
        <w:t>万元</w:t>
      </w:r>
      <w:r>
        <w:rPr>
          <w:rFonts w:hint="eastAsia"/>
        </w:rPr>
        <w:t>和</w:t>
      </w:r>
      <w:r>
        <w:rPr>
          <w:rFonts w:hint="eastAsia" w:eastAsiaTheme="minorEastAsia"/>
          <w:lang w:eastAsia="zh-CN"/>
        </w:rPr>
        <w:t>日常公用</w:t>
      </w:r>
      <w:r>
        <w:rPr>
          <w:rFonts w:hint="eastAsia"/>
        </w:rPr>
        <w:t>经费</w:t>
      </w:r>
      <w:r>
        <w:rPr>
          <w:rFonts w:hint="eastAsia" w:eastAsiaTheme="minorEastAsia"/>
          <w:lang w:val="en-US" w:eastAsia="zh-CN"/>
        </w:rPr>
        <w:t>193.71</w:t>
      </w:r>
      <w:r>
        <w:t>万元</w:t>
      </w:r>
      <w:r>
        <w:rPr>
          <w:rFonts w:hint="eastAsia"/>
        </w:rPr>
        <w:t>；项目支出</w:t>
      </w:r>
      <w:r>
        <w:rPr>
          <w:rFonts w:hint="eastAsia" w:eastAsiaTheme="minorEastAsia"/>
          <w:lang w:val="en-US" w:eastAsia="zh-CN"/>
        </w:rPr>
        <w:t>97.4</w:t>
      </w:r>
      <w:r>
        <w:rPr>
          <w:rFonts w:hint="eastAsia"/>
        </w:rPr>
        <w:t>万元，主要为霸州市融媒体中心节目制作经费、新霸州编辑部专项业务费等</w:t>
      </w:r>
      <w:r>
        <w:rPr>
          <w:rFonts w:hint="eastAsia" w:eastAsiaTheme="minorEastAsia"/>
          <w:lang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3、比上年增减情况</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20</w:t>
      </w:r>
      <w:r>
        <w:t>2</w:t>
      </w:r>
      <w:r>
        <w:rPr>
          <w:rFonts w:hint="eastAsia"/>
          <w:lang w:val="en-US" w:eastAsia="zh-CN"/>
        </w:rPr>
        <w:t>3</w:t>
      </w:r>
      <w:r>
        <w:rPr>
          <w:rFonts w:hint="eastAsia"/>
        </w:rPr>
        <w:t>年预算收支安排</w:t>
      </w:r>
      <w:r>
        <w:rPr>
          <w:rFonts w:hint="eastAsia" w:eastAsiaTheme="minorEastAsia"/>
          <w:lang w:val="en-US" w:eastAsia="zh-CN"/>
        </w:rPr>
        <w:t>2670.3</w:t>
      </w:r>
      <w:r>
        <w:rPr>
          <w:rFonts w:hint="eastAsia"/>
        </w:rPr>
        <w:t>万元，较202</w:t>
      </w:r>
      <w:r>
        <w:rPr>
          <w:rFonts w:hint="eastAsia"/>
          <w:lang w:val="en-US" w:eastAsia="zh-CN"/>
        </w:rPr>
        <w:t>2</w:t>
      </w:r>
      <w:r>
        <w:rPr>
          <w:rFonts w:hint="eastAsia"/>
        </w:rPr>
        <w:t>预算</w:t>
      </w:r>
      <w:r>
        <w:rPr>
          <w:rFonts w:hint="eastAsia"/>
          <w:lang w:val="en-US" w:eastAsia="zh-CN"/>
        </w:rPr>
        <w:t>增加241.1</w:t>
      </w:r>
      <w:r>
        <w:rPr>
          <w:rFonts w:hint="eastAsia"/>
        </w:rPr>
        <w:t>万元，其中：基本支出</w:t>
      </w:r>
      <w:r>
        <w:rPr>
          <w:rFonts w:hint="eastAsia"/>
          <w:lang w:val="en-US" w:eastAsia="zh-CN"/>
        </w:rPr>
        <w:t>增加</w:t>
      </w:r>
      <w:r>
        <w:rPr>
          <w:rFonts w:hint="eastAsia" w:eastAsiaTheme="minorEastAsia"/>
          <w:lang w:val="en-US" w:eastAsia="zh-CN"/>
        </w:rPr>
        <w:t>271.93</w:t>
      </w:r>
      <w:r>
        <w:rPr>
          <w:rFonts w:hint="eastAsia"/>
        </w:rPr>
        <w:t>万元，主要为</w:t>
      </w:r>
      <w:r>
        <w:rPr>
          <w:rFonts w:hint="eastAsia"/>
          <w:lang w:val="en-US" w:eastAsia="zh-CN"/>
        </w:rPr>
        <w:t>增加</w:t>
      </w:r>
      <w:r>
        <w:rPr>
          <w:rFonts w:hint="eastAsia"/>
        </w:rPr>
        <w:t>运转类公用项目支出；项目支出减少</w:t>
      </w:r>
      <w:r>
        <w:rPr>
          <w:rFonts w:hint="eastAsia"/>
          <w:lang w:val="en-US" w:eastAsia="zh-CN"/>
        </w:rPr>
        <w:t>30.83</w:t>
      </w:r>
      <w:r>
        <w:rPr>
          <w:rFonts w:hint="eastAsia"/>
        </w:rPr>
        <w:t>万元，主要为减少融媒体高清化改造等项目支出。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lang w:eastAsia="zh-CN"/>
        </w:rPr>
      </w:pPr>
      <w:bookmarkStart w:id="5" w:name="_Toc_3_3_0000000012"/>
      <w:r>
        <w:rPr>
          <w:rFonts w:ascii="黑体" w:hAnsi="黑体" w:eastAsia="黑体" w:cs="黑体"/>
          <w:color w:val="000000"/>
          <w:sz w:val="32"/>
        </w:rPr>
        <w:t>三、机关运行经费安排情况</w:t>
      </w:r>
      <w:bookmarkEnd w:id="5"/>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202</w:t>
      </w:r>
      <w:r>
        <w:rPr>
          <w:rFonts w:hint="eastAsia"/>
          <w:lang w:val="en-US" w:eastAsia="zh-CN"/>
        </w:rPr>
        <w:t>3</w:t>
      </w:r>
      <w:r>
        <w:rPr>
          <w:rFonts w:hint="eastAsia"/>
        </w:rPr>
        <w:t>年，我</w:t>
      </w:r>
      <w:r>
        <w:rPr>
          <w:rFonts w:hint="eastAsia"/>
          <w:lang w:val="en-US" w:eastAsia="zh-CN"/>
        </w:rPr>
        <w:t>部门</w:t>
      </w:r>
      <w:r>
        <w:rPr>
          <w:rFonts w:hint="eastAsia"/>
        </w:rPr>
        <w:t>运行经费共计安排</w:t>
      </w:r>
      <w:r>
        <w:rPr>
          <w:rFonts w:hint="eastAsia"/>
          <w:lang w:val="en-US" w:eastAsia="zh-CN"/>
        </w:rPr>
        <w:t>193.71</w:t>
      </w:r>
      <w:r>
        <w:rPr>
          <w:rFonts w:hint="eastAsia"/>
        </w:rPr>
        <w:t>万元，主要用于办公区的日常维修、办公用房水电费、办公用房取暖费、办公及印刷费，邮电费、差旅费、会议费、专用材料及一般设备购置费、办公用房物业管理费、公务用车运行维护费等日常运行支出。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jc w:val="both"/>
        <w:textAlignment w:val="auto"/>
        <w:outlineLvl w:val="2"/>
        <w:rPr>
          <w:rFonts w:eastAsiaTheme="minorEastAsia"/>
          <w:sz w:val="28"/>
          <w:lang w:eastAsia="zh-CN"/>
        </w:rPr>
      </w:pPr>
      <w:bookmarkStart w:id="6" w:name="_Toc_3_3_0000000013"/>
    </w:p>
    <w:p>
      <w:pPr>
        <w:keepNext w:val="0"/>
        <w:keepLines w:val="0"/>
        <w:pageBreakBefore w:val="0"/>
        <w:widowControl/>
        <w:kinsoku/>
        <w:wordWrap/>
        <w:overflowPunct/>
        <w:topLinePunct w:val="0"/>
        <w:autoSpaceDE/>
        <w:autoSpaceDN/>
        <w:bidi w:val="0"/>
        <w:adjustRightInd/>
        <w:snapToGrid/>
        <w:spacing w:before="10" w:after="10" w:line="360" w:lineRule="auto"/>
        <w:ind w:firstLine="800" w:firstLineChars="250"/>
        <w:jc w:val="both"/>
        <w:textAlignment w:val="auto"/>
        <w:outlineLvl w:val="2"/>
      </w:pPr>
      <w:r>
        <w:rPr>
          <w:rFonts w:ascii="黑体" w:hAnsi="黑体" w:eastAsia="黑体" w:cs="黑体"/>
          <w:color w:val="000000"/>
          <w:sz w:val="32"/>
        </w:rPr>
        <w:t>四、财政拨款“三公”经费预算情况及增减变化原因</w:t>
      </w:r>
      <w:bookmarkEnd w:id="6"/>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w:t>
      </w:r>
      <w:r>
        <w:t>2</w:t>
      </w:r>
      <w:r>
        <w:rPr>
          <w:rFonts w:hint="eastAsia"/>
          <w:lang w:val="en-US" w:eastAsia="zh-CN"/>
        </w:rPr>
        <w:t>3</w:t>
      </w:r>
      <w:r>
        <w:rPr>
          <w:rFonts w:hint="eastAsia"/>
        </w:rPr>
        <w:t>年，我</w:t>
      </w:r>
      <w:r>
        <w:rPr>
          <w:rFonts w:hint="eastAsia"/>
          <w:lang w:val="en-US" w:eastAsia="zh-CN"/>
        </w:rPr>
        <w:t>部门</w:t>
      </w:r>
      <w:r>
        <w:rPr>
          <w:rFonts w:hint="eastAsia"/>
        </w:rPr>
        <w:t>“三公”经费预算安排</w:t>
      </w:r>
      <w:r>
        <w:rPr>
          <w:rFonts w:hint="eastAsia"/>
          <w:lang w:val="en-US" w:eastAsia="zh-CN"/>
        </w:rPr>
        <w:t>9.69</w:t>
      </w:r>
      <w:r>
        <w:rPr>
          <w:rFonts w:hint="eastAsia"/>
        </w:rPr>
        <w:t>万元，其中：因公出国（境）费0万元；公务用车购置及运维费9.</w:t>
      </w:r>
      <w:r>
        <w:rPr>
          <w:rFonts w:hint="eastAsia"/>
          <w:lang w:val="en-US" w:eastAsia="zh-CN"/>
        </w:rPr>
        <w:t>2</w:t>
      </w:r>
      <w:r>
        <w:rPr>
          <w:rFonts w:hint="eastAsia"/>
        </w:rPr>
        <w:t>万元（其中：公务用车购置费0万元，公务用车运行维护费9</w:t>
      </w:r>
      <w:r>
        <w:rPr>
          <w:rFonts w:hint="eastAsia"/>
          <w:lang w:val="en-US" w:eastAsia="zh-CN"/>
        </w:rPr>
        <w:t>.2</w:t>
      </w:r>
      <w:r>
        <w:rPr>
          <w:rFonts w:hint="eastAsia"/>
        </w:rPr>
        <w:t>元)；</w:t>
      </w:r>
      <w:bookmarkStart w:id="7" w:name="_Toc_3_3_0000000014"/>
      <w:r>
        <w:rPr>
          <w:rFonts w:hint="eastAsia"/>
        </w:rPr>
        <w:t>公务用车购置及运维费较202</w:t>
      </w:r>
      <w:r>
        <w:rPr>
          <w:rFonts w:hint="eastAsia"/>
          <w:lang w:val="en-US" w:eastAsia="zh-CN"/>
        </w:rPr>
        <w:t>2</w:t>
      </w:r>
      <w:r>
        <w:rPr>
          <w:rFonts w:hint="eastAsia"/>
        </w:rPr>
        <w:t>年减少</w:t>
      </w:r>
      <w:r>
        <w:rPr>
          <w:rFonts w:hint="eastAsia"/>
          <w:lang w:val="en-US" w:eastAsia="zh-CN"/>
        </w:rPr>
        <w:t>0.3万元</w:t>
      </w:r>
      <w:r>
        <w:rPr>
          <w:rFonts w:hint="eastAsia"/>
        </w:rPr>
        <w:t>，主要</w:t>
      </w:r>
      <w:r>
        <w:rPr>
          <w:rFonts w:hint="eastAsia"/>
          <w:sz w:val="28"/>
          <w:szCs w:val="28"/>
          <w:lang w:val="en-US" w:eastAsia="zh-CN"/>
        </w:rPr>
        <w:t>原因是我部门切实落实勤俭节约各项规定，压减公车运行经费支出</w:t>
      </w:r>
      <w:r>
        <w:rPr>
          <w:rFonts w:hint="eastAsia"/>
        </w:rPr>
        <w:t>；公务接待费0.</w:t>
      </w:r>
      <w:r>
        <w:rPr>
          <w:rFonts w:hint="eastAsia"/>
          <w:lang w:val="en-US" w:eastAsia="zh-CN"/>
        </w:rPr>
        <w:t>49</w:t>
      </w:r>
      <w:r>
        <w:rPr>
          <w:rFonts w:hint="eastAsia"/>
        </w:rPr>
        <w:t>万元，较202</w:t>
      </w:r>
      <w:r>
        <w:rPr>
          <w:rFonts w:hint="eastAsia"/>
          <w:lang w:val="en-US" w:eastAsia="zh-CN"/>
        </w:rPr>
        <w:t>2</w:t>
      </w:r>
      <w:r>
        <w:rPr>
          <w:rFonts w:hint="eastAsia"/>
        </w:rPr>
        <w:t>年减少</w:t>
      </w:r>
      <w:r>
        <w:rPr>
          <w:rFonts w:hint="eastAsia"/>
          <w:lang w:val="en-US" w:eastAsia="zh-CN"/>
        </w:rPr>
        <w:t>0.05万元</w:t>
      </w:r>
      <w:r>
        <w:rPr>
          <w:rFonts w:hint="eastAsia"/>
        </w:rPr>
        <w:t>，主要</w:t>
      </w:r>
      <w:r>
        <w:rPr>
          <w:rFonts w:hint="eastAsia"/>
          <w:sz w:val="28"/>
          <w:szCs w:val="28"/>
          <w:lang w:val="en-US" w:eastAsia="zh-CN"/>
        </w:rPr>
        <w:t>原因是我部门切实落实勤俭节约各项规定，严格控制公车接待费支出。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pStyle w:val="8"/>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lang w:eastAsia="zh-CN"/>
        </w:rPr>
      </w:pPr>
      <w:r>
        <w:rPr>
          <w:rFonts w:ascii="黑体" w:hAnsi="黑体" w:eastAsia="黑体" w:cs="黑体"/>
          <w:color w:val="000000"/>
          <w:sz w:val="32"/>
        </w:rPr>
        <w:t>五、预算绩效信息</w:t>
      </w:r>
      <w:bookmarkEnd w:id="7"/>
    </w:p>
    <w:p>
      <w:pPr>
        <w:pStyle w:val="8"/>
        <w:keepNext w:val="0"/>
        <w:keepLines w:val="0"/>
        <w:pageBreakBefore w:val="0"/>
        <w:widowControl/>
        <w:kinsoku/>
        <w:wordWrap/>
        <w:overflowPunct/>
        <w:topLinePunct w:val="0"/>
        <w:autoSpaceDE/>
        <w:autoSpaceDN/>
        <w:bidi w:val="0"/>
        <w:adjustRightInd/>
        <w:snapToGrid/>
        <w:jc w:val="both"/>
        <w:textAlignment w:val="auto"/>
        <w:rPr>
          <w:lang w:eastAsia="zh-CN"/>
        </w:rPr>
      </w:pP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部门</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（一）总体绩效目标</w:t>
      </w:r>
    </w:p>
    <w:p>
      <w:pPr>
        <w:pStyle w:val="18"/>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部门</w:t>
      </w:r>
      <w:r>
        <w:t>总体绩效目标</w:t>
      </w:r>
    </w:p>
    <w:p>
      <w:pPr>
        <w:pStyle w:val="18"/>
        <w:keepNext w:val="0"/>
        <w:keepLines w:val="0"/>
        <w:pageBreakBefore w:val="0"/>
        <w:widowControl/>
        <w:kinsoku/>
        <w:wordWrap/>
        <w:overflowPunct/>
        <w:topLinePunct w:val="0"/>
        <w:autoSpaceDE/>
        <w:autoSpaceDN/>
        <w:bidi w:val="0"/>
        <w:adjustRightInd/>
        <w:snapToGrid/>
        <w:ind w:firstLineChars="200"/>
        <w:jc w:val="both"/>
        <w:textAlignment w:val="auto"/>
      </w:pPr>
      <w:r>
        <w:t>我中心202</w:t>
      </w:r>
      <w:r>
        <w:rPr>
          <w:rFonts w:hint="eastAsia"/>
          <w:lang w:val="en-US" w:eastAsia="zh-CN"/>
        </w:rPr>
        <w:t>3</w:t>
      </w:r>
      <w:r>
        <w:t>年将深入贯彻学习</w:t>
      </w:r>
      <w:r>
        <w:rPr>
          <w:rFonts w:hint="eastAsia"/>
          <w:lang w:val="en-US" w:eastAsia="zh-CN"/>
        </w:rPr>
        <w:t>二十</w:t>
      </w:r>
      <w:r>
        <w:t>大精神，在习近平总书记系列重要讲话精神的引导下，将市委、市政府的声音宣传好、宣传透，传播到千家万户；强化舆论引导，为我市事业发展提供强有力的舆论保障，强化媒体融合，继续推进传统媒体和新兴媒体在内容、渠道、技术、管理等方面的深度融合，建立并完善以广播电视为基础，以手机客户端、微信、微博为生力军的融媒体宣传平台；坚持“新闻为主”发展理念，挖掘新亮点，选准新视角，做深做透领导和群众关注的时政新闻和民生新闻，切实增强新闻宣传实效性和感染力，；深化技术改造，强化人才支撑，继续抓好全员培训和人才培养工作，努力提高融媒体中心的整体实力。</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（二）分项绩效目标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部门</w:t>
      </w:r>
      <w:r>
        <w:t>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(一)做好广播电视节目制作宣传、采访报道。</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目标：紧紧围绕市委、市政府的重大战略部署，精心策划，突出重点，提高各类广播电视节目高质量制作，把市委、市政府的声音宣传好、宣传透。加大精品创作力度，提高新闻质量。强化主题报道。加强策划，切实做好《霸州新闻》栏目，力争在报道内容、画面音质等方面上档升级。加强新闻、专题的策划意识。要在中心工作和阶段性的重点工作中找准切入点，挖掘新亮点，选准新视角，做深做透领导和群众关注的时政新闻和民生新闻。</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绩效指标：202</w:t>
      </w:r>
      <w:r>
        <w:rPr>
          <w:rFonts w:hint="eastAsia"/>
          <w:lang w:val="en-US" w:eastAsia="zh-CN"/>
        </w:rPr>
        <w:t>3</w:t>
      </w:r>
      <w:r>
        <w:t>年新开办广播电视节目、栏目不少于3个，《霸州新闻》节目发稿数量占新闻稿采编总量的比率不少于70%，使调查中对广播电视节目满意的群众占总数的比率大于95%，提高广播电视台的传播力、引导力、影响力、公信力。</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（二）建立广播电视安全播出保障体系。</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绩效目标：在完成各类广播电视节目策划、拍摄、制作、宣传的基础上，保障全年广播电视节目信号的安全播出。</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绩效指标：广播电视节目安全播出天数大于350天，广播电视信号测定准确度大于80%，广播电视综合人口覆盖率大于90%，使调查中对广播电视节目满意的群众占总数的比率大于95%。</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（三）进一步推动传统媒体和新兴媒体的融合发展</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绩效目标：继续推进传统媒体和新兴媒体在内容、渠道、技术、管理等方面的深度融合，建立并完善以广播电视为基础，以手机客户端、微信、微博为生力军的融媒体宣传平台。</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高清电视编辑存储和分发设备的系统功能新增加数大于10个，广播电视节目制作数量占总数的百分比大于70%，使调查中对高清广播电视节目满意的群众占总数的比率大于95%，传统媒体和新兴媒体融合度达到90%。</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（三）工作保障措施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部门</w:t>
      </w:r>
      <w:r>
        <w:t>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一完善制定建设</w:t>
      </w:r>
    </w:p>
    <w:p>
      <w:pPr>
        <w:pStyle w:val="20"/>
        <w:keepNext w:val="0"/>
        <w:keepLines w:val="0"/>
        <w:pageBreakBefore w:val="0"/>
        <w:widowControl/>
        <w:kinsoku/>
        <w:wordWrap/>
        <w:overflowPunct/>
        <w:topLinePunct w:val="0"/>
        <w:autoSpaceDE/>
        <w:autoSpaceDN/>
        <w:bidi w:val="0"/>
        <w:adjustRightInd/>
        <w:snapToGrid/>
        <w:jc w:val="both"/>
        <w:textAlignment w:val="auto"/>
      </w:pPr>
      <w:r>
        <w:t>制定完善的预算绩效管理，资金管理办法，工作保障制度，为财务预算绩效管理奠定基础。</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二加强支出管理</w:t>
      </w:r>
    </w:p>
    <w:p>
      <w:pPr>
        <w:pStyle w:val="20"/>
        <w:keepNext w:val="0"/>
        <w:keepLines w:val="0"/>
        <w:pageBreakBefore w:val="0"/>
        <w:widowControl/>
        <w:kinsoku/>
        <w:wordWrap/>
        <w:overflowPunct/>
        <w:topLinePunct w:val="0"/>
        <w:autoSpaceDE/>
        <w:autoSpaceDN/>
        <w:bidi w:val="0"/>
        <w:adjustRightInd/>
        <w:snapToGrid/>
        <w:jc w:val="both"/>
        <w:textAlignment w:val="auto"/>
      </w:pPr>
      <w:r>
        <w:t>我</w:t>
      </w:r>
      <w:r>
        <w:rPr>
          <w:rFonts w:hint="eastAsia"/>
          <w:lang w:val="en-US" w:eastAsia="zh-CN"/>
        </w:rPr>
        <w:t>部门</w:t>
      </w:r>
      <w:r>
        <w:t>通过优化支出结构，编实编细预算，加快履行政府采购手续、按预算项目制定加快资金的支付，从而确保完成资金支付进度。</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三加强绩效运行监督</w:t>
      </w:r>
    </w:p>
    <w:p>
      <w:pPr>
        <w:pStyle w:val="20"/>
        <w:keepNext w:val="0"/>
        <w:keepLines w:val="0"/>
        <w:pageBreakBefore w:val="0"/>
        <w:widowControl/>
        <w:kinsoku/>
        <w:wordWrap/>
        <w:overflowPunct/>
        <w:topLinePunct w:val="0"/>
        <w:autoSpaceDE/>
        <w:autoSpaceDN/>
        <w:bidi w:val="0"/>
        <w:adjustRightInd/>
        <w:snapToGrid/>
        <w:jc w:val="both"/>
        <w:textAlignment w:val="auto"/>
      </w:pPr>
      <w:r>
        <w:t>我</w:t>
      </w:r>
      <w:r>
        <w:rPr>
          <w:rFonts w:hint="eastAsia"/>
          <w:lang w:val="en-US" w:eastAsia="zh-CN"/>
        </w:rPr>
        <w:t>部门</w:t>
      </w:r>
      <w:r>
        <w:t>开展绩效运行监督，发现问题及时整改，确保预算绩效目标的完成。</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四做好绩效自评</w:t>
      </w:r>
    </w:p>
    <w:p>
      <w:pPr>
        <w:pStyle w:val="20"/>
        <w:keepNext w:val="0"/>
        <w:keepLines w:val="0"/>
        <w:pageBreakBefore w:val="0"/>
        <w:widowControl/>
        <w:kinsoku/>
        <w:wordWrap/>
        <w:overflowPunct/>
        <w:topLinePunct w:val="0"/>
        <w:autoSpaceDE/>
        <w:autoSpaceDN/>
        <w:bidi w:val="0"/>
        <w:adjustRightInd/>
        <w:snapToGrid/>
        <w:jc w:val="both"/>
        <w:textAlignment w:val="auto"/>
      </w:pPr>
      <w:r>
        <w:t>我</w:t>
      </w:r>
      <w:r>
        <w:rPr>
          <w:rFonts w:hint="eastAsia"/>
          <w:lang w:val="en-US" w:eastAsia="zh-CN"/>
        </w:rPr>
        <w:t>部门</w:t>
      </w:r>
      <w:r>
        <w:t>按要求开展上年度部门预算绩效自评，并最评价中发现的问题及时整改，并做出相应优化。</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五规范财务资产管理</w:t>
      </w:r>
    </w:p>
    <w:p>
      <w:pPr>
        <w:pStyle w:val="20"/>
        <w:keepNext w:val="0"/>
        <w:keepLines w:val="0"/>
        <w:pageBreakBefore w:val="0"/>
        <w:widowControl/>
        <w:kinsoku/>
        <w:wordWrap/>
        <w:overflowPunct/>
        <w:topLinePunct w:val="0"/>
        <w:autoSpaceDE/>
        <w:autoSpaceDN/>
        <w:bidi w:val="0"/>
        <w:adjustRightInd/>
        <w:snapToGrid/>
        <w:jc w:val="both"/>
        <w:textAlignment w:val="auto"/>
      </w:pPr>
      <w:r>
        <w:t>我</w:t>
      </w:r>
      <w:r>
        <w:rPr>
          <w:rFonts w:hint="eastAsia"/>
          <w:lang w:val="en-US" w:eastAsia="zh-CN"/>
        </w:rPr>
        <w:t>部门</w:t>
      </w:r>
      <w:r>
        <w:t>完善财务管理制度，严格审批手续，及时做好固定资产登记、使用、报废处置等相关工作，努力做到支出合理。</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六加强内部监督</w:t>
      </w:r>
    </w:p>
    <w:p>
      <w:pPr>
        <w:pStyle w:val="20"/>
        <w:keepNext w:val="0"/>
        <w:keepLines w:val="0"/>
        <w:pageBreakBefore w:val="0"/>
        <w:widowControl/>
        <w:kinsoku/>
        <w:wordWrap/>
        <w:overflowPunct/>
        <w:topLinePunct w:val="0"/>
        <w:autoSpaceDE/>
        <w:autoSpaceDN/>
        <w:bidi w:val="0"/>
        <w:adjustRightInd/>
        <w:snapToGrid/>
        <w:jc w:val="both"/>
        <w:textAlignment w:val="auto"/>
      </w:pPr>
      <w:r>
        <w:t>加强内部监督制度建设，对绩效运行情况、重要支出决策等重要经济业务事项的决算和执行进行监督，对会计资料进行内部审计，并配合好审计、财政监督等外部监督工作。</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七加强宣传培训等</w:t>
      </w:r>
    </w:p>
    <w:p>
      <w:pPr>
        <w:pStyle w:val="20"/>
        <w:keepNext w:val="0"/>
        <w:keepLines w:val="0"/>
        <w:pageBreakBefore w:val="0"/>
        <w:widowControl/>
        <w:kinsoku/>
        <w:wordWrap/>
        <w:overflowPunct/>
        <w:topLinePunct w:val="0"/>
        <w:autoSpaceDE/>
        <w:autoSpaceDN/>
        <w:bidi w:val="0"/>
        <w:adjustRightInd/>
        <w:snapToGrid/>
        <w:jc w:val="both"/>
        <w:textAlignment w:val="auto"/>
      </w:pPr>
      <w:r>
        <w:t>加强人员培训，提高业务人员整体素质，加强宣传力度，强化预算绩效管理意识，促进预算绩效管理工作水平得到提升。</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八坚持创新意识，突破传统模式，做到宣传工作有新亮点</w:t>
      </w:r>
    </w:p>
    <w:p>
      <w:pPr>
        <w:pStyle w:val="20"/>
        <w:keepNext w:val="0"/>
        <w:keepLines w:val="0"/>
        <w:pageBreakBefore w:val="0"/>
        <w:widowControl/>
        <w:kinsoku/>
        <w:wordWrap/>
        <w:overflowPunct/>
        <w:topLinePunct w:val="0"/>
        <w:autoSpaceDE/>
        <w:autoSpaceDN/>
        <w:bidi w:val="0"/>
        <w:adjustRightInd/>
        <w:snapToGrid/>
        <w:jc w:val="both"/>
        <w:textAlignment w:val="auto"/>
      </w:pPr>
      <w:r>
        <w:t>突出宣传重点，氛围浓厚助推发展。推动电视精品栏目不断涌现，内容生产日益繁荣，大型活动推陈出新，赢得赞誉，推动专题制作更上一个台阶。</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九突出重点，扎实推进广播电视安全播出工作</w:t>
      </w:r>
    </w:p>
    <w:p>
      <w:pPr>
        <w:pStyle w:val="20"/>
        <w:keepNext w:val="0"/>
        <w:keepLines w:val="0"/>
        <w:pageBreakBefore w:val="0"/>
        <w:widowControl/>
        <w:kinsoku/>
        <w:wordWrap/>
        <w:overflowPunct/>
        <w:topLinePunct w:val="0"/>
        <w:autoSpaceDE/>
        <w:autoSpaceDN/>
        <w:bidi w:val="0"/>
        <w:adjustRightInd/>
        <w:snapToGrid/>
        <w:jc w:val="both"/>
        <w:textAlignment w:val="auto"/>
      </w:pPr>
      <w:r>
        <w:t>围绕“安全、优质播出”这一中心，我台成立以副台长为组长的安全播出领导小组，起草年度安全播出应急预案，在重大节假日和敏感时期，做有安全播出备份方案、设备、传输线路，确保全国两会、省、市两会、全市经济表彰大会以及春节等重要保障期的安全优质播出，扎实做好技术保障和技术服务工作。在日常播出工作中，严格遵守播出制度，做好值班、带班交接手续及值班记录，认真履行日检、周检和重大保障工作之前的例行维护。</w:t>
      </w:r>
    </w:p>
    <w:p>
      <w:pPr>
        <w:pStyle w:val="20"/>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ind w:firstLine="640"/>
        <w:jc w:val="both"/>
        <w:textAlignment w:val="auto"/>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、新霸州编辑部专项业务费绩效目标表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1.提升读者满意度</w:t>
            </w:r>
          </w:p>
          <w:p>
            <w:pPr>
              <w:pStyle w:val="13"/>
            </w:pPr>
            <w:r>
              <w:t>2.保障新霸州报按时送达</w:t>
            </w:r>
          </w:p>
          <w:p>
            <w:pPr>
              <w:pStyle w:val="13"/>
            </w:pPr>
            <w:r>
              <w:t>3.保障新霸州报正常印刷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新霸州报刊发期数</w:t>
            </w:r>
          </w:p>
        </w:tc>
        <w:tc>
          <w:tcPr>
            <w:tcW w:w="2835" w:type="dxa"/>
            <w:vAlign w:val="center"/>
          </w:tcPr>
          <w:p>
            <w:pPr>
              <w:pStyle w:val="13"/>
            </w:pPr>
            <w:r>
              <w:t>新霸州报全年刊发数量</w:t>
            </w:r>
          </w:p>
        </w:tc>
        <w:tc>
          <w:tcPr>
            <w:tcW w:w="2551" w:type="dxa"/>
            <w:vAlign w:val="center"/>
          </w:tcPr>
          <w:p>
            <w:pPr>
              <w:pStyle w:val="13"/>
            </w:pPr>
            <w:r>
              <w:t>≥51期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新霸州报覆盖率</w:t>
            </w:r>
          </w:p>
        </w:tc>
        <w:tc>
          <w:tcPr>
            <w:tcW w:w="2835" w:type="dxa"/>
            <w:vAlign w:val="center"/>
          </w:tcPr>
          <w:p>
            <w:pPr>
              <w:pStyle w:val="13"/>
            </w:pPr>
            <w:r>
              <w:t>新霸州报覆盖党政机关、市直部门比率</w:t>
            </w:r>
          </w:p>
        </w:tc>
        <w:tc>
          <w:tcPr>
            <w:tcW w:w="2551" w:type="dxa"/>
            <w:vAlign w:val="center"/>
          </w:tcPr>
          <w:p>
            <w:pPr>
              <w:pStyle w:val="13"/>
            </w:pPr>
            <w:r>
              <w:t>≥99%</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公益广告项目验收时间</w:t>
            </w:r>
          </w:p>
        </w:tc>
        <w:tc>
          <w:tcPr>
            <w:tcW w:w="2835" w:type="dxa"/>
            <w:vAlign w:val="center"/>
          </w:tcPr>
          <w:p>
            <w:pPr>
              <w:pStyle w:val="13"/>
            </w:pPr>
            <w:r>
              <w:t>公益广告项目验收时间</w:t>
            </w:r>
          </w:p>
        </w:tc>
        <w:tc>
          <w:tcPr>
            <w:tcW w:w="2551" w:type="dxa"/>
            <w:vAlign w:val="center"/>
          </w:tcPr>
          <w:p>
            <w:pPr>
              <w:pStyle w:val="13"/>
            </w:pPr>
            <w:r>
              <w:t>预计第二季度完成</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报纸成本</w:t>
            </w:r>
          </w:p>
        </w:tc>
        <w:tc>
          <w:tcPr>
            <w:tcW w:w="2835" w:type="dxa"/>
            <w:vAlign w:val="center"/>
          </w:tcPr>
          <w:p>
            <w:pPr>
              <w:pStyle w:val="13"/>
            </w:pPr>
            <w:r>
              <w:t>报纸印刷成本</w:t>
            </w:r>
          </w:p>
        </w:tc>
        <w:tc>
          <w:tcPr>
            <w:tcW w:w="2551" w:type="dxa"/>
            <w:vAlign w:val="center"/>
          </w:tcPr>
          <w:p>
            <w:pPr>
              <w:pStyle w:val="13"/>
            </w:pPr>
            <w:r>
              <w:t>≤26.49万元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对党政机关、市直部门的影响</w:t>
            </w:r>
          </w:p>
        </w:tc>
        <w:tc>
          <w:tcPr>
            <w:tcW w:w="2835" w:type="dxa"/>
            <w:vAlign w:val="center"/>
          </w:tcPr>
          <w:p>
            <w:pPr>
              <w:pStyle w:val="13"/>
            </w:pPr>
            <w:r>
              <w:t>对党政机关、市直部门的影响</w:t>
            </w:r>
          </w:p>
        </w:tc>
        <w:tc>
          <w:tcPr>
            <w:tcW w:w="2551" w:type="dxa"/>
            <w:vAlign w:val="center"/>
          </w:tcPr>
          <w:p>
            <w:pPr>
              <w:pStyle w:val="13"/>
            </w:pPr>
            <w:r>
              <w:t>使党政机关、市直部门更好地了解各类时政信息</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读者满意度</w:t>
            </w:r>
          </w:p>
        </w:tc>
        <w:tc>
          <w:tcPr>
            <w:tcW w:w="2835" w:type="dxa"/>
            <w:vAlign w:val="center"/>
          </w:tcPr>
          <w:p>
            <w:pPr>
              <w:pStyle w:val="13"/>
            </w:pPr>
            <w:r>
              <w:t>调查中对新霸州报满意的人数占调查总人数的比率</w:t>
            </w:r>
          </w:p>
        </w:tc>
        <w:tc>
          <w:tcPr>
            <w:tcW w:w="2551" w:type="dxa"/>
            <w:vAlign w:val="center"/>
          </w:tcPr>
          <w:p>
            <w:pPr>
              <w:pStyle w:val="13"/>
            </w:pPr>
            <w:r>
              <w:t>≥95%</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、关于提前下达202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年中央补助地方公共文化服务体系建设专项资金预算的通知（冀财教[202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电视发射台运行费支付完成时间</w:t>
            </w:r>
          </w:p>
        </w:tc>
        <w:tc>
          <w:tcPr>
            <w:tcW w:w="2551" w:type="dxa"/>
            <w:vAlign w:val="center"/>
          </w:tcPr>
          <w:p>
            <w:pPr>
              <w:pStyle w:val="13"/>
            </w:pPr>
            <w:r>
              <w:t>6月底支付50%，11月完成支付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电视发射台运行维护成本</w:t>
            </w:r>
          </w:p>
        </w:tc>
        <w:tc>
          <w:tcPr>
            <w:tcW w:w="2551" w:type="dxa"/>
            <w:vAlign w:val="center"/>
          </w:tcPr>
          <w:p>
            <w:pPr>
              <w:pStyle w:val="13"/>
            </w:pPr>
            <w:r>
              <w:t>≤</w:t>
            </w:r>
            <w:r>
              <w:rPr>
                <w:rFonts w:hint="eastAsia"/>
                <w:lang w:val="en-US" w:eastAsia="zh-CN"/>
              </w:rPr>
              <w:t>14.2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电视发射台运行电费成本</w:t>
            </w:r>
          </w:p>
        </w:tc>
        <w:tc>
          <w:tcPr>
            <w:tcW w:w="2551" w:type="dxa"/>
            <w:vAlign w:val="center"/>
          </w:tcPr>
          <w:p>
            <w:pPr>
              <w:pStyle w:val="13"/>
            </w:pPr>
            <w:r>
              <w:t>≤</w:t>
            </w:r>
            <w:r>
              <w:rPr>
                <w:rFonts w:hint="eastAsia"/>
                <w:lang w:val="en-US" w:eastAsia="zh-CN"/>
              </w:rPr>
              <w:t>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广播电视播出信号覆盖人口占全市总人口的比率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、关于提前下达2022年中央补助地方公共文化服务体系建设专项资金预算的通知（冀财教[2021]138号）绩效目标表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电视发射台维护费支付时间</w:t>
            </w:r>
          </w:p>
        </w:tc>
        <w:tc>
          <w:tcPr>
            <w:tcW w:w="2551" w:type="dxa"/>
            <w:vAlign w:val="center"/>
          </w:tcPr>
          <w:p>
            <w:pPr>
              <w:pStyle w:val="13"/>
              <w:rPr>
                <w:rFonts w:hint="default" w:eastAsia="方正书宋_GBK"/>
                <w:lang w:val="en-US" w:eastAsia="zh-CN"/>
              </w:rPr>
            </w:pPr>
            <w:r>
              <w:rPr>
                <w:rFonts w:hint="eastAsia"/>
                <w:lang w:val="en-US" w:eastAsia="zh-CN"/>
              </w:rPr>
              <w:t>第一季度完成支付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电视发射台维护维修费</w:t>
            </w:r>
          </w:p>
        </w:tc>
        <w:tc>
          <w:tcPr>
            <w:tcW w:w="2551" w:type="dxa"/>
            <w:vAlign w:val="center"/>
          </w:tcPr>
          <w:p>
            <w:pPr>
              <w:pStyle w:val="13"/>
            </w:pPr>
            <w:r>
              <w:t>≤14.2万元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w:t>
            </w:r>
          </w:p>
        </w:tc>
        <w:tc>
          <w:tcPr>
            <w:tcW w:w="2551" w:type="dxa"/>
            <w:vAlign w:val="center"/>
          </w:tcPr>
          <w:p>
            <w:pPr>
              <w:pStyle w:val="13"/>
            </w:pPr>
            <w:r>
              <w:t>≤2万元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广播电视播出信号覆盖的人口占全市人口的比率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8" w:name="_Toc_3_3_0000000015"/>
      <w:r>
        <w:rPr>
          <w:rFonts w:ascii="黑体" w:hAnsi="黑体" w:eastAsia="黑体" w:cs="黑体"/>
          <w:color w:val="000000"/>
          <w:sz w:val="32"/>
        </w:rPr>
        <w:t>六、政府采购预算情况</w:t>
      </w:r>
      <w:bookmarkEnd w:id="8"/>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年，霸州市融媒体中心安排政府采购预算0.00万元。具体内容见下表。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702霸州市融媒体中心</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9" w:name="_Toc_3_3_0000000016"/>
      <w:r>
        <w:rPr>
          <w:rFonts w:ascii="黑体" w:hAnsi="黑体" w:eastAsia="黑体" w:cs="黑体"/>
          <w:color w:val="000000"/>
          <w:sz w:val="32"/>
        </w:rPr>
        <w:t>七、国有资产信息</w:t>
      </w:r>
      <w:bookmarkEnd w:id="9"/>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霸州市融媒体中心（含所属单位）上年末固定资产金额为</w:t>
      </w:r>
      <w:r>
        <w:rPr>
          <w:rFonts w:hint="eastAsia" w:eastAsiaTheme="minorEastAsia"/>
          <w:color w:val="000000"/>
          <w:sz w:val="28"/>
          <w:lang w:val="en-US" w:eastAsia="zh-CN"/>
        </w:rPr>
        <w:t>267.82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702霸州市融媒体中心</w:t>
            </w:r>
          </w:p>
        </w:tc>
        <w:tc>
          <w:tcPr>
            <w:tcW w:w="5669" w:type="dxa"/>
            <w:gridSpan w:val="2"/>
            <w:tcBorders>
              <w:top w:val="single" w:color="FFFFFF" w:sz="6" w:space="0"/>
              <w:left w:val="single" w:color="FFFFFF" w:sz="6" w:space="0"/>
              <w:right w:val="single" w:color="FFFFFF" w:sz="6" w:space="0"/>
            </w:tcBorders>
            <w:vAlign w:val="center"/>
          </w:tcPr>
          <w:p>
            <w:pPr>
              <w:pStyle w:val="2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eastAsia" w:eastAsiaTheme="minorEastAsia"/>
                <w:lang w:eastAsia="zh-CN"/>
              </w:rPr>
            </w:pPr>
            <w:r>
              <w:rPr>
                <w:rFonts w:hint="eastAsia" w:eastAsiaTheme="minorEastAsia"/>
                <w:lang w:eastAsia="zh-CN"/>
              </w:rPr>
              <w:t>资产总额</w:t>
            </w:r>
          </w:p>
        </w:tc>
        <w:tc>
          <w:tcPr>
            <w:tcW w:w="2835" w:type="dxa"/>
            <w:vAlign w:val="center"/>
          </w:tcPr>
          <w:p>
            <w:pPr>
              <w:pStyle w:val="14"/>
            </w:pPr>
            <w:r>
              <w:rPr>
                <w:rFonts w:hint="eastAsia" w:ascii="宋体" w:hAnsi="宋体" w:eastAsia="宋体" w:cs="宋体"/>
                <w:sz w:val="22"/>
              </w:rPr>
              <w:t>——</w:t>
            </w:r>
          </w:p>
        </w:tc>
        <w:tc>
          <w:tcPr>
            <w:tcW w:w="2835" w:type="dxa"/>
            <w:vAlign w:val="center"/>
          </w:tcPr>
          <w:p>
            <w:pPr>
              <w:pStyle w:val="12"/>
              <w:jc w:val="center"/>
              <w:rPr>
                <w:rFonts w:hint="default"/>
                <w:lang w:val="en-US"/>
              </w:rPr>
            </w:pPr>
            <w:r>
              <w:rPr>
                <w:rFonts w:hint="eastAsia" w:eastAsiaTheme="minorEastAsia"/>
                <w:lang w:val="en-US" w:eastAsia="zh-CN"/>
              </w:rPr>
              <w:t>267.82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1、房屋（平方米）</w:t>
            </w:r>
          </w:p>
        </w:tc>
        <w:tc>
          <w:tcPr>
            <w:tcW w:w="2835" w:type="dxa"/>
            <w:vAlign w:val="center"/>
          </w:tcPr>
          <w:p>
            <w:pPr>
              <w:pStyle w:val="14"/>
              <w:rPr>
                <w:rFonts w:hint="eastAsia" w:eastAsiaTheme="minorEastAsia"/>
                <w:lang w:eastAsia="zh-CN"/>
              </w:rPr>
            </w:pPr>
            <w:r>
              <w:rPr>
                <w:rFonts w:hint="eastAsia" w:eastAsiaTheme="minorEastAsia"/>
                <w:lang w:eastAsia="zh-CN"/>
              </w:rPr>
              <w:t>678</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85.83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4"/>
              <w:rPr>
                <w:rFonts w:hint="eastAsia" w:eastAsiaTheme="minorEastAsia"/>
                <w:lang w:eastAsia="zh-CN"/>
              </w:rPr>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2、车辆（台、辆）</w:t>
            </w:r>
          </w:p>
        </w:tc>
        <w:tc>
          <w:tcPr>
            <w:tcW w:w="2835" w:type="dxa"/>
            <w:vAlign w:val="center"/>
          </w:tcPr>
          <w:p>
            <w:pPr>
              <w:pStyle w:val="14"/>
              <w:rPr>
                <w:rFonts w:hint="eastAsia" w:eastAsiaTheme="minorEastAsia"/>
                <w:lang w:eastAsia="zh-CN"/>
              </w:rPr>
            </w:pPr>
            <w:r>
              <w:rPr>
                <w:rFonts w:hint="eastAsia" w:eastAsiaTheme="minorEastAsia"/>
                <w:lang w:eastAsia="zh-CN"/>
              </w:rPr>
              <w:t>3</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ascii="宋体" w:hAnsi="宋体" w:eastAsia="宋体" w:cs="宋体"/>
                <w:sz w:val="22"/>
              </w:rPr>
              <w:t>3、单价在20万元以上的设备</w:t>
            </w:r>
          </w:p>
        </w:tc>
        <w:tc>
          <w:tcPr>
            <w:tcW w:w="2835" w:type="dxa"/>
            <w:vAlign w:val="center"/>
          </w:tcPr>
          <w:p>
            <w:pPr>
              <w:pStyle w:val="14"/>
              <w:rPr>
                <w:rFonts w:hint="eastAsia" w:eastAsiaTheme="minorEastAsia"/>
                <w:lang w:eastAsia="zh-CN"/>
              </w:rPr>
            </w:pPr>
          </w:p>
        </w:tc>
        <w:tc>
          <w:tcPr>
            <w:tcW w:w="2835" w:type="dxa"/>
            <w:vAlign w:val="center"/>
          </w:tcPr>
          <w:p>
            <w:pPr>
              <w:pStyle w:val="12"/>
              <w:jc w:val="center"/>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宋体" w:hAnsi="宋体" w:eastAsia="宋体" w:cs="宋体"/>
                <w:sz w:val="22"/>
              </w:rPr>
            </w:pPr>
            <w:r>
              <w:rPr>
                <w:rFonts w:hint="eastAsia" w:ascii="宋体" w:hAnsi="宋体" w:eastAsia="宋体" w:cs="宋体"/>
                <w:sz w:val="22"/>
              </w:rPr>
              <w:t>4、其他固定资产</w:t>
            </w:r>
          </w:p>
        </w:tc>
        <w:tc>
          <w:tcPr>
            <w:tcW w:w="2835" w:type="dxa"/>
            <w:vAlign w:val="center"/>
          </w:tcPr>
          <w:p>
            <w:pPr>
              <w:pStyle w:val="14"/>
            </w:pP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178.09</w:t>
            </w:r>
          </w:p>
        </w:tc>
      </w:tr>
    </w:tbl>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0" w:name="_Toc_3_3_0000000017"/>
      <w:r>
        <w:rPr>
          <w:rFonts w:ascii="黑体" w:hAnsi="黑体" w:eastAsia="黑体" w:cs="黑体"/>
          <w:color w:val="000000"/>
          <w:sz w:val="32"/>
        </w:rPr>
        <w:t>八、名词解释</w:t>
      </w:r>
      <w:bookmarkEnd w:id="10"/>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市级</w:t>
      </w:r>
      <w:r>
        <w:rPr>
          <w:rFonts w:eastAsia="方正仿宋_GBK"/>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val="en-US" w:eastAsia="zh-CN"/>
        </w:rPr>
        <w:t>部门</w:t>
      </w:r>
      <w:bookmarkStart w:id="12" w:name="_GoBack"/>
      <w:bookmarkEnd w:id="12"/>
      <w:r>
        <w:rPr>
          <w:rFonts w:eastAsia="方正仿宋_GBK"/>
          <w:color w:val="000000"/>
          <w:sz w:val="28"/>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val="en-US" w:eastAsia="zh-CN"/>
        </w:rPr>
        <w:t>部门</w:t>
      </w:r>
      <w:r>
        <w:rPr>
          <w:rFonts w:eastAsia="方正仿宋_GBK"/>
          <w:color w:val="000000"/>
          <w:sz w:val="28"/>
        </w:rPr>
        <w:t>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市级</w:t>
      </w:r>
      <w:r>
        <w:rPr>
          <w:rFonts w:eastAsia="方正仿宋_GBK"/>
          <w:color w:val="000000"/>
          <w:sz w:val="28"/>
        </w:rPr>
        <w:t>财政预算管理的“三公”经费，是指</w:t>
      </w:r>
      <w:r>
        <w:rPr>
          <w:rFonts w:hint="eastAsia" w:eastAsia="方正仿宋_GBK"/>
          <w:color w:val="000000"/>
          <w:sz w:val="28"/>
          <w:lang w:val="en-US" w:eastAsia="zh-CN"/>
        </w:rPr>
        <w:t>市级部门</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w:t>
      </w:r>
      <w:r>
        <w:rPr>
          <w:rFonts w:hint="eastAsia" w:eastAsia="方正仿宋_GBK"/>
          <w:color w:val="000000"/>
          <w:sz w:val="28"/>
          <w:lang w:val="en-US"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val="en-US" w:eastAsia="zh-CN"/>
        </w:rPr>
        <w:t>部门</w:t>
      </w:r>
      <w:r>
        <w:rPr>
          <w:rFonts w:eastAsia="方正仿宋_GBK"/>
          <w:color w:val="000000"/>
          <w:sz w:val="28"/>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部门</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w:t>
      </w:r>
      <w:r>
        <w:rPr>
          <w:rFonts w:hint="eastAsia" w:eastAsia="方正仿宋_GBK"/>
          <w:color w:val="000000"/>
          <w:sz w:val="28"/>
          <w:lang w:val="en-US" w:eastAsia="zh-CN"/>
        </w:rPr>
        <w:t>部门</w:t>
      </w:r>
      <w:r>
        <w:rPr>
          <w:rFonts w:eastAsia="方正仿宋_GBK"/>
          <w:color w:val="000000"/>
          <w:sz w:val="28"/>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1" w:name="_Toc_3_3_0000000018"/>
      <w:r>
        <w:rPr>
          <w:rFonts w:ascii="黑体" w:hAnsi="黑体" w:eastAsia="黑体" w:cs="黑体"/>
          <w:color w:val="000000"/>
          <w:sz w:val="32"/>
        </w:rPr>
        <w:t>九、其他需要说明的事项</w:t>
      </w:r>
      <w:bookmarkEnd w:id="11"/>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DM0OTZkMjRjNzBlZDk3NGE1MzBiN2U1YTMyNjcifQ=="/>
  </w:docVars>
  <w:rsids>
    <w:rsidRoot w:val="00000000"/>
    <w:rsid w:val="0713213C"/>
    <w:rsid w:val="072454D6"/>
    <w:rsid w:val="09BC298A"/>
    <w:rsid w:val="0E9D59C3"/>
    <w:rsid w:val="11135F77"/>
    <w:rsid w:val="12593B48"/>
    <w:rsid w:val="14ED5AB5"/>
    <w:rsid w:val="15BD7BC5"/>
    <w:rsid w:val="1FE62FAA"/>
    <w:rsid w:val="2BC74EA2"/>
    <w:rsid w:val="2C022417"/>
    <w:rsid w:val="2D3C366E"/>
    <w:rsid w:val="329B2BE5"/>
    <w:rsid w:val="3571462C"/>
    <w:rsid w:val="37F66BE9"/>
    <w:rsid w:val="3C762694"/>
    <w:rsid w:val="3C9B3F0D"/>
    <w:rsid w:val="3C9C3827"/>
    <w:rsid w:val="3F335327"/>
    <w:rsid w:val="40D216E8"/>
    <w:rsid w:val="41DA041A"/>
    <w:rsid w:val="41FF3E3D"/>
    <w:rsid w:val="48F56989"/>
    <w:rsid w:val="4D2B2464"/>
    <w:rsid w:val="4D964EDC"/>
    <w:rsid w:val="53A807E8"/>
    <w:rsid w:val="57826FB1"/>
    <w:rsid w:val="58337671"/>
    <w:rsid w:val="59D53A4B"/>
    <w:rsid w:val="59EC6F19"/>
    <w:rsid w:val="5DA86032"/>
    <w:rsid w:val="5F1F0E01"/>
    <w:rsid w:val="6CC263B6"/>
    <w:rsid w:val="6CCF5389"/>
    <w:rsid w:val="705F6383"/>
    <w:rsid w:val="7217011B"/>
    <w:rsid w:val="7C926DEC"/>
    <w:rsid w:val="7C997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总体目标文件"/>
    <w:basedOn w:val="1"/>
    <w:qFormat/>
    <w:uiPriority w:val="0"/>
    <w:pPr>
      <w:spacing w:line="500" w:lineRule="exact"/>
      <w:ind w:firstLine="560"/>
    </w:pPr>
    <w:rPr>
      <w:rFonts w:eastAsia="方正仿宋_GBK"/>
      <w:sz w:val="28"/>
    </w:rPr>
  </w:style>
  <w:style w:type="paragraph" w:customStyle="1" w:styleId="19">
    <w:name w:val="插入文本样式-插入职责分类绩效目标文件"/>
    <w:basedOn w:val="1"/>
    <w:qFormat/>
    <w:uiPriority w:val="0"/>
    <w:pPr>
      <w:spacing w:line="500" w:lineRule="exact"/>
      <w:ind w:firstLine="560"/>
    </w:pPr>
    <w:rPr>
      <w:rFonts w:eastAsia="方正仿宋_GBK"/>
      <w:sz w:val="28"/>
    </w:rPr>
  </w:style>
  <w:style w:type="paragraph" w:customStyle="1" w:styleId="2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2023-02-21T11:54:28Z</dcterms:created>
  <dcterms:modified xsi:type="dcterms:W3CDTF">2023-02-21T03:54:27Z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ae13053-87b0-4436-be7e-4fb5c59ce039}">
  <ds:schemaRefs/>
</ds:datastoreItem>
</file>

<file path=customXml/itemProps2.xml><?xml version="1.0" encoding="utf-8"?>
<ds:datastoreItem xmlns:ds="http://schemas.openxmlformats.org/officeDocument/2006/customXml" ds:itemID="{e14921ff-f025-4a41-b420-16c48ea41016}">
  <ds:schemaRefs/>
</ds:datastoreItem>
</file>

<file path=customXml/itemProps3.xml><?xml version="1.0" encoding="utf-8"?>
<ds:datastoreItem xmlns:ds="http://schemas.openxmlformats.org/officeDocument/2006/customXml" ds:itemID="{dd4e71d0-b1d9-4cbc-8d6c-215be04e655a}">
  <ds:schemaRefs/>
</ds:datastoreItem>
</file>

<file path=customXml/itemProps4.xml><?xml version="1.0" encoding="utf-8"?>
<ds:datastoreItem xmlns:ds="http://schemas.openxmlformats.org/officeDocument/2006/customXml" ds:itemID="{02392f05-78d6-43fb-bf58-95008c94b532}">
  <ds:schemaRefs/>
</ds:datastoreItem>
</file>

<file path=customXml/itemProps5.xml><?xml version="1.0" encoding="utf-8"?>
<ds:datastoreItem xmlns:ds="http://schemas.openxmlformats.org/officeDocument/2006/customXml" ds:itemID="{cb38b284-91ef-4a38-b03d-3b14ccf3c388}">
  <ds:schemaRefs/>
</ds:datastoreItem>
</file>

<file path=customXml/itemProps6.xml><?xml version="1.0" encoding="utf-8"?>
<ds:datastoreItem xmlns:ds="http://schemas.openxmlformats.org/officeDocument/2006/customXml" ds:itemID="{19e003c6-c529-4f9e-8f70-45445b3cb8f0}">
  <ds:schemaRefs/>
</ds:datastoreItem>
</file>

<file path=docProps/app.xml><?xml version="1.0" encoding="utf-8"?>
<Properties xmlns="http://schemas.openxmlformats.org/officeDocument/2006/extended-properties" xmlns:vt="http://schemas.openxmlformats.org/officeDocument/2006/docPropsVTypes">
  <Pages>31</Pages>
  <Words>8967</Words>
  <Characters>11212</Characters>
  <TotalTime>9</TotalTime>
  <ScaleCrop>false</ScaleCrop>
  <LinksUpToDate>false</LinksUpToDate>
  <CharactersWithSpaces>11979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2023-02-21T11:54:00Z</dcterms:created>
  <dc:creator>Lenovo4</dc:creator>
  <cp:lastModifiedBy>咚巴拉〆</cp:lastModifiedBy>
  <dcterms:modified xsi:type="dcterms:W3CDTF">2023-08-01T02:40:08Z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93C9A57349FC4E7CBD056A8448E3B1D4</vt:lpwstr>
  </property>
</Properties>
</file>